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57" w:after="57"/>
        <w:jc w:val="center"/>
        <w:rPr>
          <w:rFonts w:cs="Arial"/>
          <w:b/>
          <w:bCs/>
          <w:smallCaps/>
          <w:color w:val="000000"/>
        </w:rPr>
      </w:pPr>
      <w:r>
        <w:rPr>
          <w:rFonts w:cs="Arial"/>
          <w:b/>
          <w:bCs/>
          <w:smallCaps/>
          <w:color w:val="000000"/>
        </w:rPr>
      </w:r>
    </w:p>
    <w:p>
      <w:pPr>
        <w:pStyle w:val="Normal"/>
        <w:spacing w:before="57" w:after="57"/>
        <w:jc w:val="center"/>
        <w:rPr>
          <w:rFonts w:ascii="Verdana" w:hAnsi="Verdana"/>
          <w:sz w:val="20"/>
          <w:szCs w:val="20"/>
        </w:rPr>
      </w:pPr>
      <w:r>
        <w:rPr>
          <w:rFonts w:cs="Arial" w:ascii="Verdana" w:hAnsi="Verdana"/>
          <w:b/>
          <w:bCs/>
          <w:smallCaps/>
          <w:color w:val="000000"/>
          <w:sz w:val="20"/>
          <w:szCs w:val="20"/>
        </w:rPr>
        <w:t xml:space="preserve">MINUTA DE EDITAL </w:t>
      </w:r>
    </w:p>
    <w:p>
      <w:pPr>
        <w:pStyle w:val="Normal"/>
        <w:spacing w:before="57" w:after="57"/>
        <w:jc w:val="center"/>
        <w:rPr>
          <w:rFonts w:ascii="Verdana" w:hAnsi="Verdana"/>
          <w:sz w:val="20"/>
          <w:szCs w:val="20"/>
        </w:rPr>
      </w:pPr>
      <w:r>
        <w:rPr>
          <w:rFonts w:cs="Arial" w:ascii="Verdana" w:hAnsi="Verdana"/>
          <w:b/>
          <w:bCs/>
          <w:smallCaps/>
          <w:color w:val="000000"/>
          <w:sz w:val="20"/>
          <w:szCs w:val="20"/>
        </w:rPr>
        <w:t>PREGÃO ELETRÔNICO Nº 002/2026</w:t>
      </w:r>
    </w:p>
    <w:p>
      <w:pPr>
        <w:pStyle w:val="Normal"/>
        <w:spacing w:before="57" w:after="57"/>
        <w:jc w:val="center"/>
        <w:rPr>
          <w:rFonts w:ascii="Verdana" w:hAnsi="Verdana"/>
          <w:sz w:val="20"/>
          <w:szCs w:val="20"/>
        </w:rPr>
      </w:pPr>
      <w:r>
        <w:rPr>
          <w:rFonts w:cs="Arial" w:ascii="Verdana" w:hAnsi="Verdana"/>
          <w:b/>
          <w:bCs/>
          <w:smallCaps/>
          <w:color w:val="000000"/>
          <w:sz w:val="20"/>
          <w:szCs w:val="20"/>
        </w:rPr>
        <w:t>(Processo Administrativo n° 7742/2025 de 27/10/2025)</w:t>
      </w:r>
    </w:p>
    <w:p>
      <w:pPr>
        <w:pStyle w:val="Normal"/>
        <w:spacing w:before="57" w:after="57"/>
        <w:jc w:val="center"/>
        <w:rPr>
          <w:rFonts w:ascii="Verdana" w:hAnsi="Verdana"/>
          <w:sz w:val="20"/>
          <w:szCs w:val="20"/>
        </w:rPr>
      </w:pPr>
      <w:r>
        <w:rPr>
          <w:rFonts w:ascii="Verdana" w:hAnsi="Verdana"/>
          <w:sz w:val="20"/>
          <w:szCs w:val="20"/>
        </w:rPr>
      </w:r>
    </w:p>
    <w:p>
      <w:pPr>
        <w:pStyle w:val="BodyText"/>
        <w:spacing w:before="0" w:after="0"/>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jc w:val="both"/>
        <w:rPr>
          <w:rFonts w:ascii="Verdana" w:hAnsi="Verdana" w:cs="Arial"/>
          <w:b/>
          <w:bCs/>
          <w:color w:val="000000"/>
          <w:sz w:val="20"/>
          <w:szCs w:val="20"/>
        </w:rPr>
      </w:pPr>
      <w:r>
        <w:rPr>
          <w:rFonts w:cs="Arial" w:ascii="Verdana" w:hAnsi="Verdana"/>
          <w:b/>
          <w:bCs/>
          <w:color w:val="000000"/>
          <w:sz w:val="20"/>
          <w:szCs w:val="20"/>
        </w:rPr>
      </w:r>
    </w:p>
    <w:p>
      <w:pPr>
        <w:pStyle w:val="Normal"/>
        <w:jc w:val="both"/>
        <w:rPr>
          <w:rFonts w:ascii="Verdana" w:hAnsi="Verdana"/>
          <w:sz w:val="20"/>
          <w:szCs w:val="20"/>
        </w:rPr>
      </w:pPr>
      <w:r>
        <w:rPr>
          <w:rFonts w:cs="Arial" w:ascii="Verdana" w:hAnsi="Verdana"/>
          <w:b/>
          <w:bCs/>
          <w:color w:val="000000"/>
          <w:sz w:val="20"/>
          <w:szCs w:val="20"/>
        </w:rPr>
        <w:t xml:space="preserve">Data da sessão: </w:t>
      </w:r>
      <w:r>
        <w:rPr>
          <w:rFonts w:cs="Arial" w:ascii="Verdana" w:hAnsi="Verdana"/>
          <w:b/>
          <w:bCs/>
          <w:color w:val="000000"/>
          <w:sz w:val="20"/>
          <w:szCs w:val="20"/>
        </w:rPr>
        <w:t>20/03</w:t>
      </w:r>
      <w:r>
        <w:rPr>
          <w:rFonts w:cs="Arial" w:ascii="Verdana" w:hAnsi="Verdana"/>
          <w:b/>
          <w:bCs/>
          <w:color w:val="000000"/>
          <w:sz w:val="20"/>
          <w:szCs w:val="20"/>
        </w:rPr>
        <w:t>/2026.</w:t>
      </w:r>
    </w:p>
    <w:p>
      <w:pPr>
        <w:pStyle w:val="Normal"/>
        <w:spacing w:before="57" w:after="57"/>
        <w:rPr>
          <w:rFonts w:ascii="Verdana" w:hAnsi="Verdana"/>
          <w:sz w:val="20"/>
          <w:szCs w:val="20"/>
        </w:rPr>
      </w:pPr>
      <w:r>
        <w:rPr>
          <w:rFonts w:cs="Arial" w:ascii="Verdana" w:hAnsi="Verdana"/>
          <w:b/>
          <w:bCs/>
          <w:color w:val="000000"/>
          <w:sz w:val="20"/>
          <w:szCs w:val="20"/>
        </w:rPr>
        <w:t xml:space="preserve">Horário: </w:t>
      </w:r>
      <w:r>
        <w:rPr>
          <w:rFonts w:cs="Arial" w:ascii="Verdana" w:hAnsi="Verdana"/>
          <w:b/>
          <w:bCs/>
          <w:color w:val="000000"/>
          <w:sz w:val="20"/>
          <w:szCs w:val="20"/>
        </w:rPr>
        <w:t>08</w:t>
      </w:r>
      <w:r>
        <w:rPr>
          <w:rFonts w:cs="Arial" w:ascii="Verdana" w:hAnsi="Verdana"/>
          <w:b/>
          <w:bCs/>
          <w:color w:val="000000"/>
          <w:sz w:val="20"/>
          <w:szCs w:val="20"/>
        </w:rPr>
        <w:t>h00min.</w:t>
      </w:r>
    </w:p>
    <w:p>
      <w:pPr>
        <w:pStyle w:val="Normal"/>
        <w:spacing w:before="57" w:after="57"/>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before="57" w:after="57"/>
        <w:rPr>
          <w:rFonts w:ascii="Verdana" w:hAnsi="Verdana"/>
          <w:sz w:val="20"/>
          <w:szCs w:val="20"/>
        </w:rPr>
      </w:pPr>
      <w:r>
        <w:rPr>
          <w:rFonts w:cs="Arial" w:ascii="Verdana" w:hAnsi="Verdana"/>
          <w:b/>
          <w:bCs/>
          <w:color w:val="000000"/>
          <w:sz w:val="20"/>
          <w:szCs w:val="20"/>
        </w:rPr>
        <w:t>ID CIDA</w:t>
      </w:r>
      <w:r>
        <w:rPr>
          <w:rFonts w:ascii="Verdana" w:hAnsi="Verdana"/>
          <w:b/>
          <w:bCs/>
          <w:sz w:val="20"/>
          <w:szCs w:val="20"/>
        </w:rPr>
        <w:t xml:space="preserve">DES: </w:t>
      </w:r>
    </w:p>
    <w:p>
      <w:pPr>
        <w:pStyle w:val="Normal"/>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0" w:after="0"/>
        <w:ind w:hanging="0" w:left="0"/>
        <w:rPr>
          <w:rFonts w:ascii="Verdana" w:hAnsi="Verdana"/>
        </w:rPr>
      </w:pPr>
      <w:r>
        <w:rPr>
          <w:rFonts w:cs="Arial" w:ascii="Verdana" w:hAnsi="Verdana"/>
        </w:rPr>
        <w:t>DO OBJETO</w:t>
      </w:r>
    </w:p>
    <w:p>
      <w:pPr>
        <w:pStyle w:val="Nivel01"/>
        <w:spacing w:before="0" w:after="0"/>
        <w:rPr/>
      </w:pPr>
      <w:r>
        <w:rPr>
          <w:rFonts w:cs="Arial" w:ascii="Verdana" w:hAnsi="Verdana"/>
        </w:rPr>
        <w:t xml:space="preserve">1.1 </w:t>
      </w:r>
      <w:r>
        <w:rPr>
          <w:rFonts w:cs="Arial" w:ascii="Verdana" w:hAnsi="Verdana"/>
          <w:b w:val="false"/>
          <w:bCs w:val="false"/>
        </w:rPr>
        <w:t xml:space="preserve">O objeto da presente licitação é a </w:t>
      </w:r>
      <w:r>
        <w:rPr>
          <w:rFonts w:eastAsia="Batang;바탕" w:cs="Verdana" w:ascii="Verdana" w:hAnsi="Verdana"/>
          <w:iCs/>
        </w:rPr>
        <w:t>Constituição de Ata de Registro de Preços</w:t>
      </w:r>
      <w:r>
        <w:rPr>
          <w:rFonts w:eastAsia="Batang;바탕" w:cs="Verdana" w:ascii="Verdana" w:hAnsi="Verdana"/>
          <w:b w:val="false"/>
          <w:bCs w:val="false"/>
          <w:iCs/>
        </w:rPr>
        <w:t>, para futura e eventual aquisição de pilhas e baterias para atender as necessidades da Secretaria Municipal de Saúde</w:t>
      </w:r>
      <w:r>
        <w:rPr>
          <w:rFonts w:ascii="Verdana" w:hAnsi="Verdana"/>
          <w:b w:val="false"/>
          <w:bCs w:val="false"/>
          <w:iCs/>
        </w:rPr>
        <w:t xml:space="preserve">, </w:t>
      </w:r>
      <w:r>
        <w:rPr>
          <w:rFonts w:eastAsia="Batang;바탕" w:cs="Arial" w:ascii="Verdana" w:hAnsi="Verdana"/>
          <w:b w:val="false"/>
          <w:bCs w:val="false"/>
          <w:kern w:val="2"/>
          <w:lang w:eastAsia="en-US" w:bidi="pt-BR"/>
        </w:rPr>
        <w:t>conforme c</w:t>
      </w:r>
      <w:r>
        <w:rPr>
          <w:rFonts w:cs="Arial" w:ascii="Verdana" w:hAnsi="Verdana"/>
          <w:b w:val="false"/>
          <w:bCs w:val="false"/>
        </w:rPr>
        <w:t>ondições, quantidades e exigências estabelecidas neste Edital e seus anexos.</w:t>
      </w:r>
    </w:p>
    <w:p>
      <w:pPr>
        <w:pStyle w:val="Normal"/>
        <w:spacing w:before="57" w:after="57"/>
        <w:jc w:val="both"/>
        <w:rPr>
          <w:rFonts w:ascii="Verdana" w:hAnsi="Verdana"/>
          <w:sz w:val="20"/>
          <w:szCs w:val="20"/>
        </w:rPr>
      </w:pPr>
      <w:r>
        <w:rPr>
          <w:rFonts w:cs="Arial" w:ascii="Verdana" w:hAnsi="Verdana"/>
          <w:iCs/>
          <w:color w:val="000000"/>
          <w:sz w:val="20"/>
          <w:szCs w:val="20"/>
        </w:rPr>
        <w:t>1.2 O critério de julgamento adotado será o menor preço por item, observadas as exigências contidas neste Edital e seus Anexos quanto às especificações do objeto.</w:t>
      </w:r>
    </w:p>
    <w:p>
      <w:pPr>
        <w:pStyle w:val="Normal"/>
        <w:spacing w:before="57" w:after="57"/>
        <w:jc w:val="both"/>
        <w:rPr>
          <w:rFonts w:ascii="Verdana" w:hAnsi="Verdana"/>
          <w:sz w:val="20"/>
          <w:szCs w:val="20"/>
        </w:rPr>
      </w:pPr>
      <w:r>
        <w:rPr>
          <w:rFonts w:cs="Arial" w:ascii="Verdana" w:hAnsi="Verdana"/>
          <w:b/>
          <w:bCs/>
          <w:iCs/>
          <w:color w:val="000000"/>
          <w:sz w:val="20"/>
          <w:szCs w:val="20"/>
          <w:shd w:fill="FFFF00" w:val="clear"/>
        </w:rPr>
        <w:t>1.3 A licitação ocorrerá com exclusividade para micro empresas e empresas de pequeno porte.</w:t>
      </w:r>
    </w:p>
    <w:p>
      <w:pPr>
        <w:pStyle w:val="Normal"/>
        <w:spacing w:before="57" w:after="57"/>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 xml:space="preserve">DO REGISTRO DE PREÇOS </w:t>
      </w:r>
    </w:p>
    <w:p>
      <w:pPr>
        <w:pStyle w:val="Normal"/>
        <w:jc w:val="both"/>
        <w:rPr>
          <w:rFonts w:ascii="Verdana" w:hAnsi="Verdana"/>
          <w:sz w:val="20"/>
          <w:szCs w:val="20"/>
        </w:rPr>
      </w:pPr>
      <w:r>
        <w:rPr>
          <w:rFonts w:cs="Arial" w:ascii="Verdana" w:hAnsi="Verdana"/>
          <w:color w:val="000000"/>
          <w:sz w:val="20"/>
          <w:szCs w:val="20"/>
        </w:rPr>
        <w:t>2.1 As regras referentes ao órgão gerenciador são as que constam da minuta de Ata de Registro de Preços.</w:t>
      </w:r>
    </w:p>
    <w:p>
      <w:pPr>
        <w:pStyle w:val="Normal"/>
        <w:jc w:val="both"/>
        <w:rPr>
          <w:rFonts w:ascii="Verdana" w:hAnsi="Verdana"/>
          <w:sz w:val="20"/>
          <w:szCs w:val="20"/>
        </w:rPr>
      </w:pPr>
      <w:r>
        <w:rPr>
          <w:rFonts w:cs="Arial" w:ascii="Verdana" w:hAnsi="Verdana"/>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pPr>
        <w:pStyle w:val="Nivel01"/>
        <w:spacing w:before="0" w:after="0"/>
        <w:rPr>
          <w:rFonts w:ascii="Verdana" w:hAnsi="Verdana"/>
        </w:rPr>
      </w:pPr>
      <w:r>
        <w:rPr>
          <w:rFonts w:ascii="Verdana" w:hAnsi="Verdana"/>
        </w:rPr>
      </w:r>
    </w:p>
    <w:p>
      <w:pPr>
        <w:pStyle w:val="Nivel01"/>
        <w:numPr>
          <w:ilvl w:val="0"/>
          <w:numId w:val="2"/>
        </w:numPr>
        <w:spacing w:before="0" w:after="0"/>
        <w:ind w:hanging="0" w:left="0"/>
        <w:rPr>
          <w:rFonts w:ascii="Verdana" w:hAnsi="Verdana"/>
        </w:rPr>
      </w:pPr>
      <w:r>
        <w:rPr>
          <w:rFonts w:cs="Arial" w:ascii="Verdana" w:hAnsi="Verdana"/>
        </w:rPr>
        <w:t>DO CREDENCIAMENTO</w:t>
      </w:r>
    </w:p>
    <w:p>
      <w:pPr>
        <w:pStyle w:val="Default"/>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pPr>
        <w:pStyle w:val="Default"/>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a responsabilização pelos atos praticados, devendo ser indicada pessoa com capacidade técnica para realização das transações inerentes ao certame. </w:t>
      </w:r>
    </w:p>
    <w:p>
      <w:pPr>
        <w:pStyle w:val="Default"/>
        <w:jc w:val="both"/>
        <w:rPr>
          <w:rFonts w:ascii="Verdana" w:hAnsi="Verdana"/>
          <w:sz w:val="20"/>
          <w:szCs w:val="20"/>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jc w:val="both"/>
        <w:rPr>
          <w:rFonts w:ascii="Verdana" w:hAnsi="Verdana"/>
          <w:sz w:val="20"/>
          <w:szCs w:val="20"/>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DA PARTICIPAÇÃO NO PREGÃO.</w:t>
      </w:r>
    </w:p>
    <w:p>
      <w:pPr>
        <w:pStyle w:val="Normal"/>
        <w:jc w:val="both"/>
        <w:rPr>
          <w:rFonts w:ascii="Verdana" w:hAnsi="Verdana"/>
          <w:sz w:val="20"/>
          <w:szCs w:val="20"/>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before="57" w:after="57"/>
        <w:jc w:val="both"/>
        <w:rPr>
          <w:rFonts w:ascii="Verdana" w:hAnsi="Verdana"/>
          <w:sz w:val="20"/>
          <w:szCs w:val="20"/>
        </w:rPr>
      </w:pPr>
      <w:r>
        <w:rPr>
          <w:rFonts w:cs="Arial" w:ascii="Verdana" w:hAnsi="Verdana"/>
          <w:b/>
          <w:bCs/>
          <w:iCs/>
          <w:color w:val="000000"/>
          <w:sz w:val="20"/>
          <w:szCs w:val="20"/>
          <w:shd w:fill="FFFF00" w:val="clear"/>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jc w:val="both"/>
        <w:rPr/>
      </w:pPr>
      <w:r>
        <w:rPr>
          <w:rStyle w:val="InternetLink"/>
          <w:rFonts w:cs="Arial" w:ascii="Verdana" w:hAnsi="Verdana"/>
          <w:iCs/>
          <w:color w:val="auto"/>
          <w:sz w:val="20"/>
          <w:szCs w:val="20"/>
          <w:u w:val="none"/>
        </w:rPr>
        <w:t>4.2.1 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pacing w:before="85" w:after="85"/>
        <w:jc w:val="both"/>
        <w:rPr/>
      </w:pPr>
      <w:r>
        <w:rPr>
          <w:rStyle w:val="InternetLink"/>
          <w:rFonts w:cs="Arial" w:ascii="Verdana" w:hAnsi="Verdana"/>
          <w:b/>
          <w:bCs/>
          <w:iCs/>
          <w:color w:val="000000"/>
          <w:sz w:val="20"/>
          <w:szCs w:val="20"/>
          <w:u w:val="none"/>
          <w:shd w:fill="FFFF00" w:val="clear"/>
        </w:rPr>
        <w:t>4.2.</w:t>
      </w:r>
      <w:r>
        <w:rPr>
          <w:rStyle w:val="InternetLink"/>
          <w:rFonts w:cs="Arial" w:ascii="Verdana" w:hAnsi="Verdana"/>
          <w:b/>
          <w:bCs/>
          <w:iCs/>
          <w:color w:val="000000"/>
          <w:sz w:val="20"/>
          <w:szCs w:val="20"/>
          <w:highlight w:val="yellow"/>
          <w:u w:val="none"/>
          <w:shd w:fill="FFFF00" w:val="clear"/>
        </w:rPr>
        <w:t xml:space="preserve">2 </w:t>
      </w:r>
      <w:bookmarkStart w:id="1" w:name="_Hlk214282951"/>
      <w:r>
        <w:rPr>
          <w:rStyle w:val="InternetLink1"/>
          <w:rFonts w:cs="Arial" w:ascii="Verdana" w:hAnsi="Verdana"/>
          <w:iCs/>
          <w:color w:val="auto"/>
          <w:sz w:val="20"/>
          <w:szCs w:val="20"/>
          <w:highlight w:val="yellow"/>
        </w:rPr>
        <w:t xml:space="preserve">A empresa que se favorecer dos benefícios concedidos às microempresas ou empresas de pequeno porte, conforme previsto neste Edital, deverá, junto à sua documentação de habilitação, apresentar </w:t>
      </w:r>
      <w:r>
        <w:rPr>
          <w:rStyle w:val="InternetLink1"/>
          <w:rFonts w:cs="Arial" w:ascii="Verdana" w:hAnsi="Verdana"/>
          <w:b/>
          <w:bCs/>
          <w:iCs/>
          <w:color w:val="auto"/>
          <w:sz w:val="20"/>
          <w:szCs w:val="20"/>
          <w:highlight w:val="yellow"/>
        </w:rPr>
        <w:t>todas as certidões relativas a regularidade fiscal, mesmo que contenham alguma restrição, e ainda, a CERTIDÃO EXPEDIDA PELA JUNTA COMERCIAL DA REGIÃO SEDE DA EMPRESA,</w:t>
      </w:r>
      <w:r>
        <w:rPr>
          <w:rStyle w:val="InternetLink1"/>
          <w:rFonts w:cs="Arial" w:ascii="Verdana" w:hAnsi="Verdana"/>
          <w:iCs/>
          <w:color w:val="auto"/>
          <w:sz w:val="20"/>
          <w:szCs w:val="20"/>
          <w:highlight w:val="yellow"/>
        </w:rPr>
        <w:t xml:space="preserve"> demonstrando a situação de enquadramento, </w:t>
      </w:r>
      <w:r>
        <w:rPr>
          <w:rStyle w:val="InternetLink1"/>
          <w:rFonts w:cs="Arial" w:ascii="Verdana" w:hAnsi="Verdana"/>
          <w:b/>
          <w:bCs/>
          <w:iCs/>
          <w:color w:val="auto"/>
          <w:sz w:val="20"/>
          <w:szCs w:val="20"/>
          <w:highlight w:val="yellow"/>
        </w:rPr>
        <w:t>emitida n</w:t>
      </w:r>
      <w:r>
        <w:rPr>
          <w:rStyle w:val="t286pc"/>
          <w:rFonts w:ascii="Verdana" w:hAnsi="Verdana"/>
          <w:b/>
          <w:bCs/>
          <w:sz w:val="20"/>
          <w:szCs w:val="20"/>
          <w:highlight w:val="yellow"/>
          <w:shd w:fill="FFFFFF" w:val="clear"/>
        </w:rPr>
        <w:t>os</w:t>
      </w:r>
      <w:r>
        <w:rPr>
          <w:rStyle w:val="t286pc"/>
          <w:rFonts w:ascii="Verdana" w:hAnsi="Verdana"/>
          <w:sz w:val="20"/>
          <w:szCs w:val="20"/>
          <w:highlight w:val="yellow"/>
          <w:shd w:fill="FFFFFF" w:val="clear"/>
        </w:rPr>
        <w:t xml:space="preserve"> </w:t>
      </w:r>
      <w:r>
        <w:rPr>
          <w:rStyle w:val="t286pc"/>
          <w:rFonts w:ascii="Verdana" w:hAnsi="Verdana"/>
          <w:b/>
          <w:bCs/>
          <w:sz w:val="20"/>
          <w:szCs w:val="20"/>
          <w:highlight w:val="yellow"/>
          <w:shd w:fill="FFFFFF" w:val="clear"/>
        </w:rPr>
        <w:t>90 (noventa)</w:t>
      </w:r>
      <w:r>
        <w:rPr>
          <w:rStyle w:val="t286pc"/>
          <w:rFonts w:ascii="Verdana" w:hAnsi="Verdana"/>
          <w:sz w:val="20"/>
          <w:szCs w:val="20"/>
          <w:highlight w:val="yellow"/>
          <w:shd w:fill="FFFFFF" w:val="clear"/>
        </w:rPr>
        <w:t xml:space="preserve"> dias anteriores à data da sessão pública (abertura da licitação)</w:t>
      </w:r>
      <w:r>
        <w:rPr>
          <w:rStyle w:val="InternetLink1"/>
          <w:rFonts w:cs="Arial" w:ascii="Verdana" w:hAnsi="Verdana"/>
          <w:iCs/>
          <w:color w:val="auto"/>
          <w:sz w:val="20"/>
          <w:szCs w:val="20"/>
          <w:highlight w:val="yellow"/>
        </w:rPr>
        <w:t>, sob pena de perda do direito de gozo dos referidos benefícios</w:t>
      </w:r>
      <w:r>
        <w:rPr>
          <w:rFonts w:cs="Arial" w:ascii="Verdana" w:hAnsi="Verdana"/>
          <w:bCs/>
          <w:sz w:val="20"/>
          <w:szCs w:val="20"/>
          <w:highlight w:val="yellow"/>
        </w:rPr>
        <w:t>.</w:t>
      </w:r>
      <w:bookmarkEnd w:id="1"/>
    </w:p>
    <w:p>
      <w:pPr>
        <w:pStyle w:val="Normal"/>
        <w:spacing w:before="85" w:after="85"/>
        <w:jc w:val="both"/>
        <w:rPr>
          <w:rFonts w:ascii="Verdana" w:hAnsi="Verdana"/>
          <w:sz w:val="20"/>
          <w:szCs w:val="20"/>
        </w:rPr>
      </w:pPr>
      <w:r>
        <w:rPr>
          <w:rFonts w:cs="Arial" w:ascii="Verdana" w:hAnsi="Verdana"/>
          <w:bCs/>
          <w:iCs/>
          <w:color w:val="000000"/>
          <w:sz w:val="20"/>
          <w:szCs w:val="20"/>
        </w:rPr>
        <w:t xml:space="preserve">4.2.3 </w:t>
      </w:r>
      <w:bookmarkStart w:id="2" w:name="_Ref117015508"/>
      <w:r>
        <w:rPr>
          <w:rFonts w:ascii="Verdana" w:hAnsi="Verdana"/>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pPr>
        <w:pStyle w:val="Normal"/>
        <w:snapToGrid w:val="false"/>
        <w:spacing w:before="85" w:after="85"/>
        <w:jc w:val="both"/>
        <w:rPr>
          <w:rFonts w:ascii="Verdana" w:hAnsi="Verdana"/>
          <w:sz w:val="20"/>
          <w:szCs w:val="20"/>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before="85" w:after="85"/>
        <w:jc w:val="both"/>
        <w:rPr>
          <w:rFonts w:ascii="Verdana" w:hAnsi="Verdana"/>
          <w:sz w:val="20"/>
          <w:szCs w:val="20"/>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spacing w:before="85" w:after="85"/>
        <w:jc w:val="both"/>
        <w:rPr>
          <w:rFonts w:ascii="Verdana" w:hAnsi="Verdana"/>
          <w:sz w:val="20"/>
          <w:szCs w:val="20"/>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before="85" w:after="85"/>
        <w:jc w:val="both"/>
        <w:rPr>
          <w:rFonts w:ascii="Verdana" w:hAnsi="Verdana"/>
          <w:sz w:val="20"/>
          <w:szCs w:val="20"/>
        </w:rPr>
      </w:pPr>
      <w:r>
        <w:rPr>
          <w:rFonts w:cs="Arial" w:ascii="Verdana" w:hAnsi="Verdana"/>
          <w:bCs/>
          <w:color w:val="000000"/>
          <w:sz w:val="20"/>
          <w:szCs w:val="20"/>
        </w:rPr>
        <w:t>4.3.3 A</w:t>
      </w:r>
      <w:bookmarkStart w:id="3"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3"/>
    </w:p>
    <w:p>
      <w:pPr>
        <w:pStyle w:val="Normal"/>
        <w:tabs>
          <w:tab w:val="clear" w:pos="708"/>
          <w:tab w:val="left" w:pos="1440" w:leader="none"/>
        </w:tabs>
        <w:snapToGrid w:val="false"/>
        <w:spacing w:before="85" w:after="85"/>
        <w:jc w:val="both"/>
        <w:rPr>
          <w:rFonts w:ascii="Verdana" w:hAnsi="Verdana"/>
          <w:sz w:val="20"/>
          <w:szCs w:val="20"/>
        </w:rPr>
      </w:pPr>
      <w:r>
        <w:rPr>
          <w:rFonts w:eastAsia="Arial Unicode MS" w:cs="Arial" w:ascii="Verdana" w:hAnsi="Verdana"/>
          <w:color w:val="000000"/>
          <w:sz w:val="20"/>
          <w:szCs w:val="20"/>
        </w:rPr>
        <w:t>4.3.4 E</w:t>
      </w:r>
      <w:bookmarkStart w:id="4"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pPr>
        <w:pStyle w:val="Normal"/>
        <w:tabs>
          <w:tab w:val="clear" w:pos="708"/>
          <w:tab w:val="left" w:pos="1440" w:leader="none"/>
        </w:tabs>
        <w:snapToGrid w:val="false"/>
        <w:spacing w:before="85" w:after="85"/>
        <w:jc w:val="both"/>
        <w:rPr>
          <w:rFonts w:ascii="Verdana" w:hAnsi="Verdana"/>
          <w:sz w:val="20"/>
          <w:szCs w:val="20"/>
        </w:rPr>
      </w:pPr>
      <w:r>
        <w:rPr>
          <w:rFonts w:cs="Arial" w:ascii="Verdana" w:hAnsi="Verdana"/>
          <w:color w:val="000000"/>
          <w:sz w:val="20"/>
          <w:szCs w:val="20"/>
        </w:rPr>
        <w:t>4.3.5 P</w:t>
      </w:r>
      <w:bookmarkStart w:id="5"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5"/>
    </w:p>
    <w:p>
      <w:pPr>
        <w:pStyle w:val="Normal"/>
        <w:tabs>
          <w:tab w:val="clear" w:pos="708"/>
          <w:tab w:val="left" w:pos="1440" w:leader="none"/>
        </w:tabs>
        <w:snapToGrid w:val="false"/>
        <w:spacing w:before="85" w:after="85"/>
        <w:jc w:val="both"/>
        <w:rPr>
          <w:rFonts w:ascii="Verdana" w:hAnsi="Verdana"/>
          <w:sz w:val="20"/>
          <w:szCs w:val="20"/>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before="85" w:after="85"/>
        <w:jc w:val="both"/>
        <w:rPr>
          <w:rFonts w:ascii="Verdana" w:hAnsi="Verdana"/>
          <w:sz w:val="20"/>
          <w:szCs w:val="20"/>
        </w:rPr>
      </w:pPr>
      <w:r>
        <w:rPr>
          <w:rFonts w:cs="Arial" w:ascii="Verdana" w:hAnsi="Verdana"/>
          <w:color w:val="000000"/>
          <w:sz w:val="20"/>
          <w:szCs w:val="20"/>
        </w:rPr>
        <w:t>4.3.7 E</w:t>
      </w:r>
      <w:bookmarkStart w:id="6" w:name="_Ref113883579"/>
      <w:r>
        <w:rPr>
          <w:rFonts w:cs="Arial" w:ascii="Verdana" w:hAnsi="Verdana"/>
          <w:color w:val="000000"/>
          <w:sz w:val="20"/>
          <w:szCs w:val="20"/>
        </w:rPr>
        <w:t>mpresas controladoras, controladas ou coligadas, nos termos da Lei nº 6.404, de 15 de dezembro de 1976, concorrendo entre si;</w:t>
      </w:r>
      <w:bookmarkEnd w:id="6"/>
    </w:p>
    <w:p>
      <w:pPr>
        <w:pStyle w:val="Normal"/>
        <w:tabs>
          <w:tab w:val="clear" w:pos="708"/>
          <w:tab w:val="left" w:pos="1440" w:leader="none"/>
        </w:tabs>
        <w:snapToGrid w:val="false"/>
        <w:spacing w:before="85" w:after="85"/>
        <w:jc w:val="both"/>
        <w:rPr>
          <w:rFonts w:ascii="Verdana" w:hAnsi="Verdana"/>
          <w:sz w:val="20"/>
          <w:szCs w:val="20"/>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before="85" w:after="85"/>
        <w:jc w:val="both"/>
        <w:rPr>
          <w:rFonts w:ascii="Verdana" w:hAnsi="Verdana"/>
          <w:sz w:val="20"/>
          <w:szCs w:val="20"/>
        </w:rPr>
      </w:pPr>
      <w:r>
        <w:rPr>
          <w:rFonts w:cs="Arial" w:ascii="Verdana" w:hAnsi="Verdana"/>
          <w:color w:val="000000"/>
          <w:sz w:val="20"/>
          <w:szCs w:val="20"/>
        </w:rPr>
        <w:t>4.3.9 A</w:t>
      </w:r>
      <w:bookmarkStart w:id="7" w:name="_Ref113962336"/>
      <w:r>
        <w:rPr>
          <w:rFonts w:cs="Arial" w:ascii="Verdana" w:hAnsi="Verdana"/>
          <w:color w:val="000000"/>
          <w:sz w:val="20"/>
          <w:szCs w:val="20"/>
        </w:rPr>
        <w:t>gente público do órgão ou entidade licitante;</w:t>
      </w:r>
      <w:bookmarkEnd w:id="7"/>
    </w:p>
    <w:p>
      <w:pPr>
        <w:pStyle w:val="Normal"/>
        <w:snapToGrid w:val="false"/>
        <w:spacing w:before="85" w:after="85"/>
        <w:jc w:val="both"/>
        <w:rPr>
          <w:rFonts w:ascii="Verdana" w:hAnsi="Verdana"/>
          <w:sz w:val="20"/>
          <w:szCs w:val="20"/>
        </w:rPr>
      </w:pPr>
      <w:r>
        <w:rPr>
          <w:rFonts w:cs="Arial" w:ascii="Verdana" w:hAnsi="Verdana"/>
          <w:bCs/>
          <w:color w:val="000000"/>
          <w:sz w:val="20"/>
          <w:szCs w:val="20"/>
        </w:rPr>
        <w:t>4.3.10 Organizações da Sociedade Civil interesse Público – OSCIP, atuando nessa condição;</w:t>
      </w:r>
    </w:p>
    <w:p>
      <w:pPr>
        <w:pStyle w:val="Normal"/>
        <w:snapToGrid w:val="false"/>
        <w:spacing w:before="85" w:after="85"/>
        <w:jc w:val="both"/>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240" w:before="85" w:after="85"/>
        <w:ind w:hanging="0" w:left="0"/>
        <w:rPr>
          <w:rFonts w:ascii="Verdana" w:hAnsi="Verdana"/>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240" w:before="85" w:after="85"/>
        <w:ind w:hanging="0" w:left="0"/>
        <w:rPr>
          <w:rFonts w:ascii="Verdana" w:hAnsi="Verdana"/>
        </w:rPr>
      </w:pPr>
      <w:bookmarkStart w:id="8" w:name="art14§2"/>
      <w:bookmarkEnd w:id="8"/>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240" w:before="85" w:after="85"/>
        <w:ind w:hanging="0" w:left="0"/>
        <w:rPr>
          <w:rFonts w:ascii="Verdana" w:hAnsi="Verdana"/>
        </w:rPr>
      </w:pPr>
      <w:bookmarkStart w:id="9" w:name="art14§3"/>
      <w:bookmarkEnd w:id="9"/>
      <w:r>
        <w:rPr>
          <w:rFonts w:eastAsia="Segoe UI" w:cs="Arial" w:ascii="Verdana" w:hAnsi="Verdana"/>
          <w:bCs/>
          <w:color w:val="000000"/>
        </w:rPr>
        <w:t>4.6 Equiparam-se aos autores do projeto as empresas integrantes do mesmo grupo econômico.</w:t>
      </w:r>
    </w:p>
    <w:p>
      <w:pPr>
        <w:pStyle w:val="Nivel2"/>
        <w:numPr>
          <w:ilvl w:val="0"/>
          <w:numId w:val="0"/>
        </w:numPr>
        <w:spacing w:lineRule="auto" w:line="240" w:before="85" w:after="85"/>
        <w:ind w:hanging="0" w:left="0"/>
        <w:rPr>
          <w:rFonts w:ascii="Verdana" w:hAnsi="Verdana"/>
        </w:rPr>
      </w:pPr>
      <w:bookmarkStart w:id="10" w:name="art14§4"/>
      <w:bookmarkEnd w:id="10"/>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240" w:before="85" w:after="85"/>
        <w:ind w:hanging="0" w:left="0"/>
        <w:rPr/>
      </w:pPr>
      <w:bookmarkStart w:id="11" w:name="art14§5"/>
      <w:bookmarkEnd w:id="11"/>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lineRule="auto" w:line="240" w:before="0" w:after="0"/>
        <w:ind w:hanging="0" w:left="0"/>
        <w:rPr>
          <w:rFonts w:ascii="Verdana" w:hAnsi="Verdana"/>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lineRule="auto" w:line="240" w:before="0" w:after="0"/>
        <w:ind w:hanging="0" w:left="0"/>
        <w:rPr>
          <w:rFonts w:ascii="Verdana" w:hAnsi="Verdana" w:eastAsia="Segoe UI" w:cs="Arial"/>
          <w:bCs/>
          <w:color w:val="000000"/>
        </w:rPr>
      </w:pPr>
      <w:r>
        <w:rPr>
          <w:rFonts w:eastAsia="Segoe UI" w:cs="Arial" w:ascii="Verdana" w:hAnsi="Verdana"/>
          <w:bCs/>
          <w:color w:val="000000"/>
        </w:rPr>
      </w:r>
    </w:p>
    <w:p>
      <w:pPr>
        <w:pStyle w:val="Nivel01"/>
        <w:numPr>
          <w:ilvl w:val="0"/>
          <w:numId w:val="2"/>
        </w:numPr>
        <w:spacing w:before="0" w:after="0"/>
        <w:ind w:hanging="0" w:left="0"/>
        <w:rPr>
          <w:rFonts w:ascii="Verdana" w:hAnsi="Verdana"/>
        </w:rPr>
      </w:pPr>
      <w:r>
        <w:rPr>
          <w:rFonts w:cs="Arial" w:ascii="Verdana" w:hAnsi="Verdana"/>
        </w:rPr>
        <w:t>DA APRESENTAÇÃO DA PROPOSTA E DOS DOCUMENTOS DE HABILITAÇÃO</w:t>
      </w:r>
    </w:p>
    <w:p>
      <w:pPr>
        <w:pStyle w:val="Normal"/>
        <w:numPr>
          <w:ilvl w:val="1"/>
          <w:numId w:val="13"/>
        </w:numPr>
        <w:tabs>
          <w:tab w:val="clear" w:pos="708"/>
          <w:tab w:val="left" w:pos="450" w:leader="none"/>
          <w:tab w:val="left" w:pos="1450" w:leader="none"/>
        </w:tabs>
        <w:spacing w:before="57" w:after="57"/>
        <w:ind w:hanging="0" w:left="0"/>
        <w:jc w:val="both"/>
        <w:rPr>
          <w:rFonts w:ascii="Verdana" w:hAnsi="Verdana"/>
          <w:sz w:val="20"/>
          <w:szCs w:val="20"/>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14"/>
        </w:numPr>
        <w:tabs>
          <w:tab w:val="clear" w:pos="708"/>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15"/>
        </w:numPr>
        <w:tabs>
          <w:tab w:val="clear" w:pos="708"/>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16"/>
        </w:numPr>
        <w:tabs>
          <w:tab w:val="clear" w:pos="708"/>
          <w:tab w:val="left" w:pos="450" w:leader="none"/>
        </w:tabs>
        <w:spacing w:before="57" w:after="57"/>
        <w:ind w:hanging="0" w:left="0"/>
        <w:jc w:val="both"/>
        <w:rPr>
          <w:rFonts w:ascii="Verdana" w:hAnsi="Verdana"/>
          <w:sz w:val="20"/>
          <w:szCs w:val="20"/>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17"/>
        </w:numPr>
        <w:tabs>
          <w:tab w:val="clear" w:pos="708"/>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18"/>
        </w:numPr>
        <w:tabs>
          <w:tab w:val="clear" w:pos="708"/>
          <w:tab w:val="left" w:pos="450" w:leader="none"/>
        </w:tabs>
        <w:spacing w:before="57" w:after="57"/>
        <w:ind w:hanging="0" w:left="0"/>
        <w:jc w:val="both"/>
        <w:rPr>
          <w:rFonts w:ascii="Verdana" w:hAnsi="Verdana"/>
          <w:sz w:val="20"/>
          <w:szCs w:val="20"/>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19"/>
        </w:numPr>
        <w:tabs>
          <w:tab w:val="clear" w:pos="708"/>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0"/>
        </w:numPr>
        <w:tabs>
          <w:tab w:val="clear" w:pos="708"/>
          <w:tab w:val="left" w:pos="450" w:leader="none"/>
        </w:tabs>
        <w:ind w:hanging="0" w:left="0"/>
        <w:jc w:val="both"/>
        <w:rPr>
          <w:rFonts w:ascii="Verdana" w:hAnsi="Verdana"/>
          <w:sz w:val="20"/>
          <w:szCs w:val="20"/>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DO PREENCHIMENTO DA PROPOSTA</w:t>
      </w:r>
    </w:p>
    <w:p>
      <w:pPr>
        <w:pStyle w:val="Normal"/>
        <w:numPr>
          <w:ilvl w:val="1"/>
          <w:numId w:val="2"/>
        </w:numPr>
        <w:tabs>
          <w:tab w:val="clear" w:pos="708"/>
          <w:tab w:val="left" w:pos="450" w:leader="none"/>
        </w:tabs>
        <w:ind w:hanging="0" w:left="0"/>
        <w:jc w:val="both"/>
        <w:rPr>
          <w:rFonts w:ascii="Verdana" w:hAnsi="Verdana"/>
          <w:sz w:val="20"/>
          <w:szCs w:val="20"/>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spacing w:before="57" w:after="57"/>
        <w:ind w:hanging="0" w:left="0"/>
        <w:jc w:val="both"/>
        <w:rPr>
          <w:rFonts w:ascii="Verdana" w:hAnsi="Verdana"/>
          <w:sz w:val="20"/>
          <w:szCs w:val="20"/>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spacing w:before="57" w:after="57"/>
        <w:jc w:val="both"/>
        <w:rPr>
          <w:rFonts w:ascii="Verdana" w:hAnsi="Verdana"/>
          <w:sz w:val="20"/>
          <w:szCs w:val="20"/>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spacing w:before="57" w:after="57"/>
        <w:ind w:hanging="0" w:left="0"/>
        <w:jc w:val="both"/>
        <w:rPr>
          <w:rFonts w:ascii="Verdana" w:hAnsi="Verdana"/>
          <w:sz w:val="20"/>
          <w:szCs w:val="20"/>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spacing w:before="57" w:after="57"/>
        <w:ind w:hanging="0" w:left="0"/>
        <w:jc w:val="both"/>
        <w:rPr>
          <w:rFonts w:ascii="Verdana" w:hAnsi="Verdana"/>
          <w:sz w:val="20"/>
          <w:szCs w:val="20"/>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spacing w:before="57" w:after="57"/>
        <w:ind w:hanging="0" w:left="0"/>
        <w:jc w:val="both"/>
        <w:rPr>
          <w:rFonts w:ascii="Verdana" w:hAnsi="Verdana"/>
          <w:sz w:val="20"/>
          <w:szCs w:val="20"/>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before="57" w:after="57"/>
        <w:ind w:hanging="0" w:left="0"/>
        <w:contextualSpacing w:val="false"/>
        <w:jc w:val="both"/>
        <w:rPr>
          <w:rFonts w:ascii="Verdana" w:hAnsi="Verdana"/>
          <w:sz w:val="20"/>
          <w:szCs w:val="20"/>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before="57" w:after="57"/>
        <w:ind w:hanging="0" w:left="0"/>
        <w:contextualSpacing w:val="false"/>
        <w:jc w:val="both"/>
        <w:rPr>
          <w:rFonts w:ascii="Verdana" w:hAnsi="Verdana"/>
          <w:sz w:val="20"/>
          <w:szCs w:val="20"/>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lineRule="auto" w:line="240" w:before="57" w:after="57"/>
        <w:ind w:hanging="0" w:left="0"/>
        <w:rPr>
          <w:rFonts w:ascii="Verdana" w:hAnsi="Verdana"/>
        </w:rPr>
      </w:pPr>
      <w:r>
        <w:rPr>
          <w:rFonts w:ascii="Verdana" w:hAnsi="Verdana"/>
        </w:rPr>
        <w:t>A apresentação das propostas implica obrigatoriedade do cumprimento das disposições nelas contidas, em conformidade com o que dispõe o Anexo 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before="0" w:after="0"/>
        <w:ind w:left="0"/>
        <w:contextualSpacing w:val="false"/>
        <w:jc w:val="both"/>
        <w:rPr>
          <w:rFonts w:ascii="Verdana" w:hAnsi="Verdana"/>
          <w:sz w:val="20"/>
          <w:szCs w:val="20"/>
        </w:rPr>
      </w:pPr>
      <w:r>
        <w:rPr>
          <w:rFonts w:cs="Arial" w:ascii="Verdana" w:hAnsi="Verdana"/>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08"/>
          <w:tab w:val="left" w:pos="517" w:leader="none"/>
        </w:tabs>
        <w:spacing w:before="0" w:after="0"/>
        <w:ind w:hanging="0" w:left="0"/>
        <w:contextualSpacing w:val="false"/>
        <w:jc w:val="both"/>
        <w:rPr>
          <w:rFonts w:ascii="Verdana" w:hAnsi="Verdana"/>
          <w:sz w:val="20"/>
          <w:szCs w:val="20"/>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40" w:before="57" w:after="57"/>
        <w:ind w:hanging="0" w:left="0"/>
        <w:rPr>
          <w:rFonts w:ascii="Verdana" w:hAnsi="Verdana"/>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before="57" w:after="57"/>
        <w:jc w:val="both"/>
        <w:rPr>
          <w:rFonts w:ascii="Verdana" w:hAnsi="Verdana"/>
          <w:sz w:val="20"/>
          <w:szCs w:val="20"/>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before="57" w:after="57"/>
        <w:jc w:val="both"/>
        <w:rPr>
          <w:rFonts w:ascii="Verdana" w:hAnsi="Verdana"/>
          <w:sz w:val="20"/>
          <w:szCs w:val="20"/>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before="57" w:after="57"/>
        <w:jc w:val="both"/>
        <w:rPr>
          <w:rFonts w:ascii="Verdana" w:hAnsi="Verdana"/>
          <w:sz w:val="20"/>
          <w:szCs w:val="20"/>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before="57" w:after="57"/>
        <w:jc w:val="both"/>
        <w:rPr>
          <w:rFonts w:ascii="Verdana" w:hAnsi="Verdana"/>
          <w:sz w:val="20"/>
          <w:szCs w:val="20"/>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total do item.</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before="57" w:after="57"/>
        <w:ind w:left="0"/>
        <w:contextualSpacing w:val="false"/>
        <w:jc w:val="both"/>
        <w:rPr>
          <w:rFonts w:ascii="Verdana" w:hAnsi="Verdana"/>
          <w:sz w:val="20"/>
          <w:szCs w:val="20"/>
        </w:rPr>
      </w:pPr>
      <w:r>
        <w:rPr>
          <w:rFonts w:cs="Arial" w:ascii="Verdana" w:hAnsi="Verdana"/>
          <w:sz w:val="20"/>
          <w:szCs w:val="20"/>
        </w:rPr>
        <w:t>7.7 O licitante somente poderá oferecer lance de valor inferior ao último por ele ofertado e registrado pelo sistema.</w:t>
      </w:r>
    </w:p>
    <w:p>
      <w:pPr>
        <w:pStyle w:val="ListParagraph"/>
        <w:spacing w:before="57" w:after="57"/>
        <w:ind w:left="0"/>
        <w:contextualSpacing w:val="false"/>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R$ 0,10. (dez centavos)</w:t>
      </w:r>
      <w:r>
        <w:rPr>
          <w:rFonts w:ascii="Verdana" w:hAnsi="Verdana"/>
          <w:i/>
          <w:iCs/>
          <w:sz w:val="20"/>
          <w:szCs w:val="20"/>
        </w:rPr>
        <w:t>.</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 xml:space="preserve">7.8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before="57" w:after="57"/>
        <w:jc w:val="both"/>
        <w:rPr>
          <w:rFonts w:ascii="Verdana" w:hAnsi="Verdana"/>
          <w:sz w:val="20"/>
          <w:szCs w:val="20"/>
        </w:rPr>
      </w:pPr>
      <w:r>
        <w:rPr>
          <w:rFonts w:cs="Arial" w:ascii="Verdana" w:hAnsi="Verdana"/>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before="57" w:after="57"/>
        <w:jc w:val="both"/>
        <w:rPr>
          <w:rFonts w:ascii="Verdana" w:hAnsi="Verdana"/>
          <w:sz w:val="20"/>
          <w:szCs w:val="20"/>
        </w:rPr>
      </w:pPr>
      <w:r>
        <w:rPr>
          <w:rFonts w:ascii="Verdana" w:hAnsi="Verdana"/>
          <w:sz w:val="20"/>
          <w:szCs w:val="20"/>
        </w:rPr>
        <w:t>7.10 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Default"/>
        <w:spacing w:before="57" w:after="57"/>
        <w:jc w:val="both"/>
        <w:rPr>
          <w:rFonts w:ascii="Verdana" w:hAnsi="Verdana"/>
          <w:sz w:val="20"/>
          <w:szCs w:val="20"/>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pPr>
        <w:pStyle w:val="Default"/>
        <w:spacing w:before="57" w:after="57"/>
        <w:jc w:val="both"/>
        <w:rPr>
          <w:rFonts w:ascii="Verdana" w:hAnsi="Verdana"/>
          <w:sz w:val="20"/>
          <w:szCs w:val="20"/>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before="57" w:after="57"/>
        <w:jc w:val="both"/>
        <w:rPr>
          <w:rFonts w:ascii="Verdana" w:hAnsi="Verdana"/>
          <w:sz w:val="20"/>
          <w:szCs w:val="20"/>
        </w:rPr>
      </w:pPr>
      <w:r>
        <w:rPr>
          <w:rFonts w:ascii="Verdana" w:hAnsi="Verdana"/>
          <w:sz w:val="20"/>
          <w:szCs w:val="20"/>
        </w:rPr>
        <w:t>7.13 Após o reinício previsto no item supra, os licitantes serão convocados para apresentar lances intermediários.</w:t>
      </w:r>
    </w:p>
    <w:p>
      <w:pPr>
        <w:pStyle w:val="Normal"/>
        <w:spacing w:before="57" w:after="57"/>
        <w:jc w:val="both"/>
        <w:rPr>
          <w:rFonts w:ascii="Verdana" w:hAnsi="Verdana"/>
          <w:sz w:val="20"/>
          <w:szCs w:val="20"/>
        </w:rPr>
      </w:pPr>
      <w:r>
        <w:rPr>
          <w:rFonts w:ascii="Verdana" w:hAnsi="Verdana"/>
          <w:sz w:val="20"/>
          <w:szCs w:val="20"/>
        </w:rPr>
        <w:t>7.11. Após o término dos prazos estabelecidos nos itens anteriores, o sistema ordenará os lances segundo a ordem crescente de valores.</w:t>
      </w:r>
    </w:p>
    <w:p>
      <w:pPr>
        <w:pStyle w:val="Normal"/>
        <w:spacing w:before="57" w:after="57"/>
        <w:jc w:val="both"/>
        <w:rPr>
          <w:rFonts w:ascii="Verdana" w:hAnsi="Verdana"/>
          <w:sz w:val="20"/>
          <w:szCs w:val="20"/>
        </w:rPr>
      </w:pPr>
      <w:r>
        <w:rPr>
          <w:rFonts w:cs="Arial" w:ascii="Verdana" w:hAnsi="Verdana"/>
          <w:color w:val="000000"/>
          <w:sz w:val="20"/>
          <w:szCs w:val="20"/>
        </w:rPr>
        <w:t>7.13 Não serão aceitos dois ou mais lances de mesmo valor, prevalecendo aquele que for recebido e registrado em primeiro lugar.</w:t>
      </w:r>
    </w:p>
    <w:p>
      <w:pPr>
        <w:pStyle w:val="Normal"/>
        <w:spacing w:before="57" w:after="57"/>
        <w:jc w:val="both"/>
        <w:rPr>
          <w:rFonts w:ascii="Verdana" w:hAnsi="Verdana"/>
          <w:sz w:val="20"/>
          <w:szCs w:val="20"/>
        </w:rPr>
      </w:pPr>
      <w:r>
        <w:rPr>
          <w:rFonts w:cs="Arial" w:ascii="Verdana" w:hAnsi="Verdana"/>
          <w:color w:val="000000"/>
          <w:sz w:val="20"/>
          <w:szCs w:val="20"/>
        </w:rPr>
        <w:t xml:space="preserve">7.14 Durante o transcurso da sessão pública, os licitantes serão informados, em tempo real, do valor do menor lance registrado, vedada a identificação do licitante. </w:t>
      </w:r>
    </w:p>
    <w:p>
      <w:pPr>
        <w:pStyle w:val="Normal"/>
        <w:spacing w:before="57" w:after="57"/>
        <w:jc w:val="both"/>
        <w:rPr>
          <w:rFonts w:ascii="Verdana" w:hAnsi="Verdana"/>
          <w:sz w:val="20"/>
          <w:szCs w:val="20"/>
        </w:rPr>
      </w:pPr>
      <w:r>
        <w:rPr>
          <w:rFonts w:cs="Arial" w:ascii="Verdana" w:hAnsi="Verdana"/>
          <w:color w:val="000000"/>
          <w:sz w:val="20"/>
          <w:szCs w:val="20"/>
        </w:rPr>
        <w:t xml:space="preserve">7.15 No caso de desconexão com o Pregoeiro, no decorrer da etapa competitiva do Pregão, o sistema eletrônico poderá permanecer acessível aos licitantes para a recepção dos lances. </w:t>
      </w:r>
    </w:p>
    <w:p>
      <w:pPr>
        <w:pStyle w:val="Normal"/>
        <w:spacing w:before="57" w:after="57"/>
        <w:jc w:val="both"/>
        <w:rPr>
          <w:rFonts w:ascii="Verdana" w:hAnsi="Verdana"/>
          <w:sz w:val="20"/>
          <w:szCs w:val="20"/>
        </w:rPr>
      </w:pPr>
      <w:r>
        <w:rPr>
          <w:rFonts w:cs="Arial" w:ascii="Verdana" w:hAnsi="Verdana"/>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before="57" w:after="57"/>
        <w:jc w:val="both"/>
        <w:rPr>
          <w:rFonts w:ascii="Verdana" w:hAnsi="Verdana"/>
          <w:sz w:val="20"/>
          <w:szCs w:val="20"/>
        </w:rPr>
      </w:pPr>
      <w:r>
        <w:rPr>
          <w:rFonts w:cs="Arial" w:ascii="Verdana" w:hAnsi="Verdana"/>
          <w:color w:val="000000"/>
          <w:sz w:val="20"/>
          <w:szCs w:val="20"/>
        </w:rPr>
        <w:t>7.17 O Critério de julgamento adotado será o de menor preço, conforme definido neste Edital e seus anexos.</w:t>
      </w:r>
    </w:p>
    <w:p>
      <w:pPr>
        <w:pStyle w:val="Normal"/>
        <w:spacing w:before="57" w:after="57"/>
        <w:jc w:val="both"/>
        <w:rPr>
          <w:rFonts w:ascii="Verdana" w:hAnsi="Verdana"/>
          <w:sz w:val="20"/>
          <w:szCs w:val="20"/>
        </w:rPr>
      </w:pPr>
      <w:r>
        <w:rPr>
          <w:rFonts w:cs="Arial" w:ascii="Verdana" w:hAnsi="Verdana"/>
          <w:color w:val="000000"/>
          <w:sz w:val="20"/>
          <w:szCs w:val="20"/>
        </w:rPr>
        <w:t>7.18 Caso o licitante não apresente lances, concorrerá com o valor de sua proposta.</w:t>
      </w:r>
    </w:p>
    <w:p>
      <w:pPr>
        <w:pStyle w:val="Normal"/>
        <w:spacing w:before="57" w:after="57"/>
        <w:jc w:val="both"/>
        <w:rPr>
          <w:rFonts w:ascii="Verdana" w:hAnsi="Verdana"/>
          <w:sz w:val="20"/>
          <w:szCs w:val="20"/>
        </w:rPr>
      </w:pPr>
      <w:r>
        <w:rPr>
          <w:rFonts w:cs="Arial" w:ascii="Verdana" w:hAnsi="Verdana"/>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before="57" w:after="57"/>
        <w:jc w:val="both"/>
        <w:rPr>
          <w:rFonts w:ascii="Verdana" w:hAnsi="Verdana"/>
          <w:sz w:val="20"/>
          <w:szCs w:val="20"/>
        </w:rPr>
      </w:pPr>
      <w:r>
        <w:rPr>
          <w:rFonts w:cs="Arial" w:ascii="Verdana" w:hAnsi="Verdana"/>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pPr>
        <w:pStyle w:val="Normal"/>
        <w:spacing w:before="57" w:after="57"/>
        <w:jc w:val="both"/>
        <w:rPr>
          <w:rFonts w:ascii="Verdana" w:hAnsi="Verdana"/>
          <w:sz w:val="20"/>
          <w:szCs w:val="20"/>
        </w:rPr>
      </w:pPr>
      <w:r>
        <w:rPr>
          <w:rFonts w:cs="Arial" w:ascii="Verdana" w:hAnsi="Verdana"/>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before="57" w:after="57"/>
        <w:jc w:val="both"/>
        <w:rPr>
          <w:rFonts w:ascii="Verdana" w:hAnsi="Verdana"/>
          <w:sz w:val="20"/>
          <w:szCs w:val="20"/>
        </w:rPr>
      </w:pPr>
      <w:r>
        <w:rPr>
          <w:rFonts w:cs="Arial" w:ascii="Verdana" w:hAnsi="Verdana"/>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before="57" w:after="57"/>
        <w:jc w:val="both"/>
        <w:rPr>
          <w:rFonts w:ascii="Verdana" w:hAnsi="Verdana"/>
          <w:sz w:val="20"/>
          <w:szCs w:val="20"/>
        </w:rPr>
      </w:pPr>
      <w:r>
        <w:rPr>
          <w:rFonts w:cs="Arial" w:ascii="Verdana" w:hAnsi="Verdana"/>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before="57" w:after="57"/>
        <w:jc w:val="both"/>
        <w:rPr>
          <w:rFonts w:ascii="Verdana" w:hAnsi="Verdana"/>
          <w:sz w:val="20"/>
          <w:szCs w:val="20"/>
        </w:rPr>
      </w:pPr>
      <w:r>
        <w:rPr>
          <w:rFonts w:cs="Arial" w:ascii="Verdana" w:hAnsi="Verdana"/>
          <w:color w:val="000000"/>
          <w:sz w:val="20"/>
          <w:szCs w:val="20"/>
        </w:rPr>
        <w:t xml:space="preserve">7.24 Só poderá haver empate entre propostas iguais (não seguidas de lances), ou entre lances finais da fase fechada do modo de disputa aberto e fechado. </w:t>
      </w:r>
    </w:p>
    <w:p>
      <w:pPr>
        <w:pStyle w:val="Normal"/>
        <w:spacing w:before="57" w:after="57"/>
        <w:jc w:val="both"/>
        <w:rPr>
          <w:rFonts w:ascii="Verdana" w:hAnsi="Verdana"/>
          <w:sz w:val="20"/>
          <w:szCs w:val="20"/>
        </w:rPr>
      </w:pPr>
      <w:r>
        <w:rPr>
          <w:rFonts w:cs="Arial" w:ascii="Verdana" w:hAnsi="Verdana"/>
          <w:color w:val="000000"/>
          <w:sz w:val="20"/>
          <w:szCs w:val="20"/>
        </w:rPr>
        <w:t>7.25 Havendo eventual empate entre propostas ou lances, o critério de desempate será aquele previsto no art. 60 da Lei nº 14.133, de 2021, assegurando-se a preferência, sucessivamente, aos bens produzidos ou prestados por:</w:t>
      </w:r>
    </w:p>
    <w:p>
      <w:pPr>
        <w:pStyle w:val="Normal"/>
        <w:spacing w:before="57" w:after="57"/>
        <w:jc w:val="both"/>
        <w:rPr>
          <w:rFonts w:ascii="Verdana" w:hAnsi="Verdana"/>
          <w:sz w:val="20"/>
          <w:szCs w:val="20"/>
        </w:rPr>
      </w:pPr>
      <w:r>
        <w:rPr>
          <w:rFonts w:cs="Arial" w:ascii="Verdana" w:hAnsi="Verdana"/>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before="57" w:after="57"/>
        <w:jc w:val="both"/>
        <w:rPr>
          <w:rFonts w:ascii="Verdana" w:hAnsi="Verdana"/>
          <w:sz w:val="20"/>
          <w:szCs w:val="20"/>
        </w:rPr>
      </w:pPr>
      <w:r>
        <w:rPr>
          <w:rFonts w:cs="Arial" w:ascii="Verdana" w:hAnsi="Verdana"/>
          <w:color w:val="000000"/>
          <w:sz w:val="20"/>
          <w:szCs w:val="20"/>
          <w:lang w:eastAsia="en-US"/>
        </w:rPr>
        <w:t>7.25.3 Por empresas brasileiras;</w:t>
      </w:r>
    </w:p>
    <w:p>
      <w:pPr>
        <w:pStyle w:val="Normal"/>
        <w:spacing w:before="57" w:after="57"/>
        <w:jc w:val="both"/>
        <w:rPr>
          <w:rFonts w:ascii="Verdana" w:hAnsi="Verdana"/>
          <w:sz w:val="20"/>
          <w:szCs w:val="20"/>
        </w:rPr>
      </w:pPr>
      <w:r>
        <w:rPr>
          <w:rFonts w:cs="Arial" w:ascii="Verdana" w:hAnsi="Verdana"/>
          <w:color w:val="000000"/>
          <w:sz w:val="20"/>
          <w:szCs w:val="20"/>
          <w:lang w:eastAsia="en-US"/>
        </w:rPr>
        <w:t>7.25.4 Por empresas que invistam em pesquisa e no desenvolvimento de tecnologia no País;</w:t>
      </w:r>
    </w:p>
    <w:p>
      <w:pPr>
        <w:pStyle w:val="Normal"/>
        <w:spacing w:before="57" w:after="57"/>
        <w:jc w:val="both"/>
        <w:rPr/>
      </w:pPr>
      <w:r>
        <w:rPr>
          <w:rFonts w:cs="Arial" w:ascii="Verdana" w:hAnsi="Verdana"/>
          <w:color w:val="000000"/>
          <w:sz w:val="20"/>
          <w:szCs w:val="20"/>
          <w:lang w:eastAsia="en-US"/>
        </w:rPr>
        <w:t xml:space="preserve">7.25.5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before="57" w:after="57"/>
        <w:jc w:val="both"/>
        <w:rPr>
          <w:rFonts w:ascii="Verdana" w:hAnsi="Verdana"/>
          <w:sz w:val="20"/>
          <w:szCs w:val="20"/>
        </w:rPr>
      </w:pPr>
      <w:r>
        <w:rPr>
          <w:rFonts w:cs="Arial" w:ascii="Verdana" w:hAnsi="Verdana"/>
          <w:color w:val="000000"/>
          <w:sz w:val="20"/>
          <w:szCs w:val="20"/>
          <w:lang w:eastAsia="en-US"/>
        </w:rPr>
        <w:t xml:space="preserve">7.26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before="57" w:after="57"/>
        <w:jc w:val="both"/>
        <w:rPr>
          <w:rFonts w:ascii="Verdana" w:hAnsi="Verdana"/>
          <w:sz w:val="20"/>
          <w:szCs w:val="20"/>
        </w:rPr>
      </w:pPr>
      <w:r>
        <w:rPr>
          <w:rFonts w:cs="Arial" w:ascii="Verdana" w:hAnsi="Verdana"/>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7.27.1 A negociação será realizada por meio do sistema, podendo ser acompanhada pelos demais licitantes.</w:t>
      </w:r>
    </w:p>
    <w:p>
      <w:pPr>
        <w:pStyle w:val="ListParagraph"/>
        <w:tabs>
          <w:tab w:val="clear" w:pos="708"/>
          <w:tab w:val="left" w:pos="-12" w:leader="none"/>
        </w:tabs>
        <w:spacing w:before="57" w:after="57"/>
        <w:ind w:left="0"/>
        <w:contextualSpacing w:val="false"/>
        <w:jc w:val="both"/>
        <w:rPr>
          <w:rFonts w:ascii="Verdana" w:hAnsi="Verdana"/>
          <w:sz w:val="20"/>
          <w:szCs w:val="20"/>
        </w:rPr>
      </w:pPr>
      <w:r>
        <w:rPr>
          <w:rFonts w:cs="Arial" w:ascii="Verdana" w:hAnsi="Verdana"/>
          <w:color w:val="000000"/>
          <w:sz w:val="20"/>
          <w:szCs w:val="20"/>
        </w:rPr>
        <w:t>7.27.2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before="0" w:after="0"/>
        <w:ind w:left="0"/>
        <w:contextualSpacing w:val="false"/>
        <w:jc w:val="both"/>
        <w:rPr>
          <w:rFonts w:ascii="Verdana" w:hAnsi="Verdana"/>
          <w:sz w:val="20"/>
          <w:szCs w:val="20"/>
        </w:rPr>
      </w:pPr>
      <w:r>
        <w:rPr>
          <w:rFonts w:cs="Arial" w:ascii="Verdana" w:hAnsi="Verdana"/>
          <w:color w:val="000000"/>
          <w:sz w:val="20"/>
          <w:szCs w:val="20"/>
        </w:rPr>
        <w:t>7.28 Após a negociação do preço, o Pregoeiro iniciará a fase de aceitação e julgamento da proposta.</w:t>
      </w:r>
    </w:p>
    <w:p>
      <w:pPr>
        <w:pStyle w:val="ListParagraph"/>
        <w:tabs>
          <w:tab w:val="clear" w:pos="708"/>
          <w:tab w:val="left" w:pos="-12" w:leader="none"/>
        </w:tabs>
        <w:spacing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tabs>
          <w:tab w:val="clear" w:pos="567"/>
          <w:tab w:val="left" w:pos="517" w:leader="none"/>
        </w:tabs>
        <w:spacing w:before="0" w:after="0"/>
        <w:ind w:hanging="0" w:left="0"/>
        <w:rPr>
          <w:rFonts w:ascii="Verdana" w:hAnsi="Verdana"/>
        </w:rPr>
      </w:pPr>
      <w:r>
        <w:rPr>
          <w:rFonts w:cs="Arial" w:ascii="Verdana" w:hAnsi="Verdana"/>
          <w:lang w:eastAsia="en-US"/>
        </w:rPr>
        <w:t>DA ACEITABILIDADE DA PROPOSTA VENCEDORA.</w:t>
      </w:r>
    </w:p>
    <w:p>
      <w:pPr>
        <w:pStyle w:val="ListParagraph"/>
        <w:numPr>
          <w:ilvl w:val="1"/>
          <w:numId w:val="2"/>
        </w:numPr>
        <w:tabs>
          <w:tab w:val="clear" w:pos="708"/>
          <w:tab w:val="left" w:pos="517" w:leader="none"/>
        </w:tabs>
        <w:spacing w:before="0" w:after="0"/>
        <w:ind w:hanging="0" w:left="0"/>
        <w:contextualSpacing w:val="false"/>
        <w:jc w:val="both"/>
        <w:rPr/>
      </w:pPr>
      <w:bookmarkStart w:id="12"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183"/>
          <w:sz w:val="20"/>
          <w:u w:val="single"/>
          <w:szCs w:val="20"/>
          <w:rFonts w:cs="Arial" w:ascii="Verdana" w:hAnsi="Verdana"/>
          <w:color w:val="000080"/>
        </w:rPr>
        <w:instrText xml:space="preserve"> HYPERLINK "http://www.planalto.gov.br/ccivil_03/_ato2019-2022/2021/lei/L14133.htm" \l "art14"</w:instrText>
      </w:r>
      <w:r>
        <w:rPr>
          <w:rStyle w:val="ListLabel183"/>
          <w:sz w:val="20"/>
          <w:u w:val="single"/>
          <w:szCs w:val="20"/>
          <w:rFonts w:cs="Arial" w:ascii="Verdana" w:hAnsi="Verdana"/>
          <w:color w:val="000080"/>
        </w:rPr>
        <w:fldChar w:fldCharType="separate"/>
      </w:r>
      <w:r>
        <w:rPr>
          <w:rStyle w:val="ListLabel183"/>
          <w:rFonts w:cs="Arial" w:ascii="Verdana" w:hAnsi="Verdana"/>
          <w:color w:val="000080"/>
          <w:sz w:val="20"/>
          <w:szCs w:val="20"/>
          <w:u w:val="single"/>
        </w:rPr>
        <w:t>art. 14 da Lei nº 14.133/2021</w:t>
      </w:r>
      <w:r>
        <w:rPr>
          <w:rStyle w:val="ListLabel183"/>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2"/>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183"/>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183"/>
          <w:sz w:val="20"/>
          <w:u w:val="single"/>
          <w:szCs w:val="20"/>
          <w:rFonts w:cs="Arial" w:ascii="Verdana" w:hAnsi="Verdana"/>
          <w:color w:val="000080"/>
        </w:rPr>
        <w:fldChar w:fldCharType="separate"/>
      </w:r>
      <w:r>
        <w:rPr>
          <w:rStyle w:val="ListLabel183"/>
          <w:rFonts w:cs="Arial" w:ascii="Verdana" w:hAnsi="Verdana"/>
          <w:color w:val="000080"/>
          <w:sz w:val="20"/>
          <w:szCs w:val="20"/>
          <w:u w:val="single"/>
        </w:rPr>
        <w:t>artigo 29 a 35 da IN SEGES nº 73, de 30 de setembro de 2022</w:t>
      </w:r>
      <w:r>
        <w:rPr>
          <w:rStyle w:val="ListLabel183"/>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before="57" w:after="57"/>
        <w:ind w:hanging="0" w:left="0"/>
        <w:jc w:val="both"/>
        <w:rPr>
          <w:rFonts w:ascii="Verdana" w:hAnsi="Verdana"/>
          <w:sz w:val="20"/>
          <w:szCs w:val="20"/>
        </w:rPr>
      </w:pPr>
      <w:r>
        <w:rPr>
          <w:rFonts w:ascii="Verdana" w:hAnsi="Verdana"/>
          <w:sz w:val="20"/>
          <w:szCs w:val="20"/>
        </w:rPr>
        <w:t xml:space="preserve">Será desclassificada a proposta ou o lance vencedor, que: </w:t>
      </w:r>
    </w:p>
    <w:p>
      <w:pPr>
        <w:pStyle w:val="Normal"/>
        <w:tabs>
          <w:tab w:val="clear" w:pos="708"/>
          <w:tab w:val="left" w:pos="517" w:leader="none"/>
        </w:tabs>
        <w:spacing w:before="57" w:after="57"/>
        <w:jc w:val="both"/>
        <w:rPr>
          <w:rFonts w:ascii="Verdana" w:hAnsi="Verdana"/>
          <w:sz w:val="20"/>
          <w:szCs w:val="20"/>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before="57" w:after="57"/>
        <w:jc w:val="both"/>
        <w:rPr>
          <w:rFonts w:ascii="Verdana" w:hAnsi="Verdana"/>
          <w:sz w:val="20"/>
          <w:szCs w:val="20"/>
        </w:rPr>
      </w:pPr>
      <w:r>
        <w:rPr>
          <w:rFonts w:ascii="Verdana" w:hAnsi="Verdana"/>
          <w:sz w:val="20"/>
          <w:szCs w:val="20"/>
        </w:rPr>
        <w:t>8.4.2 contenha vício insanável ou ilegalidade;</w:t>
      </w:r>
    </w:p>
    <w:p>
      <w:pPr>
        <w:pStyle w:val="Normal"/>
        <w:tabs>
          <w:tab w:val="clear" w:pos="708"/>
          <w:tab w:val="left" w:pos="517" w:leader="none"/>
        </w:tabs>
        <w:spacing w:before="57" w:after="57"/>
        <w:jc w:val="both"/>
        <w:rPr>
          <w:rFonts w:ascii="Verdana" w:hAnsi="Verdana"/>
          <w:sz w:val="20"/>
          <w:szCs w:val="20"/>
        </w:rPr>
      </w:pPr>
      <w:r>
        <w:rPr>
          <w:rFonts w:ascii="Verdana" w:hAnsi="Verdana"/>
          <w:sz w:val="20"/>
          <w:szCs w:val="20"/>
        </w:rPr>
        <w:t>8.4.3 não apresente as especificações técnicas exigidas pelo Termo de Referência;</w:t>
      </w:r>
    </w:p>
    <w:p>
      <w:pPr>
        <w:pStyle w:val="Nivel3"/>
        <w:numPr>
          <w:ilvl w:val="0"/>
          <w:numId w:val="0"/>
        </w:numPr>
        <w:suppressAutoHyphens w:val="false"/>
        <w:spacing w:lineRule="auto" w:line="240" w:before="57" w:after="57"/>
        <w:ind w:hanging="0" w:left="0"/>
        <w:rPr>
          <w:rFonts w:ascii="Verdana" w:hAnsi="Verdana"/>
        </w:rPr>
      </w:pPr>
      <w:r>
        <w:rPr>
          <w:rFonts w:ascii="Verdana" w:hAnsi="Verdana"/>
        </w:rPr>
        <w:t xml:space="preserve">8.4.4 apresentar preços inexequíveis ou permanecerem acima do preço máximo definido para a contratação; </w:t>
      </w:r>
    </w:p>
    <w:p>
      <w:pPr>
        <w:pStyle w:val="Normal"/>
        <w:tabs>
          <w:tab w:val="clear" w:pos="708"/>
          <w:tab w:val="left" w:pos="517" w:leader="none"/>
        </w:tabs>
        <w:spacing w:before="57" w:after="57"/>
        <w:jc w:val="both"/>
        <w:rPr>
          <w:rFonts w:ascii="Verdana" w:hAnsi="Verdana"/>
          <w:sz w:val="20"/>
          <w:szCs w:val="20"/>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before="57" w:after="57"/>
        <w:ind w:hanging="0" w:left="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sz w:val="20"/>
          <w:szCs w:val="20"/>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before="57" w:after="57"/>
        <w:ind w:hanging="0" w:left="0"/>
        <w:jc w:val="both"/>
        <w:rPr>
          <w:rFonts w:ascii="Verdana" w:hAnsi="Verdana"/>
          <w:sz w:val="20"/>
          <w:szCs w:val="20"/>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before="57" w:after="57"/>
        <w:ind w:hanging="0" w:left="0"/>
        <w:jc w:val="both"/>
        <w:rPr>
          <w:rFonts w:ascii="Verdana" w:hAnsi="Verdana"/>
          <w:sz w:val="20"/>
          <w:szCs w:val="20"/>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before="57" w:after="57"/>
        <w:ind w:hanging="0" w:left="0"/>
        <w:jc w:val="both"/>
        <w:rPr>
          <w:rFonts w:ascii="Verdana" w:hAnsi="Verdana"/>
          <w:sz w:val="20"/>
          <w:szCs w:val="20"/>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ind w:hanging="0" w:left="0"/>
        <w:jc w:val="both"/>
        <w:rPr>
          <w:rFonts w:ascii="Verdana" w:hAnsi="Verdana"/>
          <w:sz w:val="20"/>
          <w:szCs w:val="20"/>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0" w:after="0"/>
        <w:ind w:hanging="0" w:left="0"/>
        <w:rPr>
          <w:rFonts w:ascii="Verdana" w:hAnsi="Verdana"/>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before="0" w:after="0"/>
        <w:ind w:hanging="0" w:left="0"/>
        <w:rPr>
          <w:rFonts w:ascii="Verdana" w:hAnsi="Verdana"/>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before="57" w:after="57"/>
        <w:ind w:left="0"/>
        <w:contextualSpacing w:val="false"/>
        <w:jc w:val="both"/>
        <w:rPr>
          <w:rFonts w:ascii="Verdana" w:hAnsi="Verdana"/>
          <w:sz w:val="20"/>
          <w:szCs w:val="20"/>
        </w:rPr>
      </w:pPr>
      <w:r>
        <w:rPr>
          <w:rFonts w:cs="Arial" w:ascii="Verdana" w:hAnsi="Verdana"/>
          <w:sz w:val="20"/>
          <w:szCs w:val="20"/>
          <w:lang w:eastAsia="ar-SA"/>
        </w:rPr>
        <w:t>a) SICAF;</w:t>
      </w:r>
    </w:p>
    <w:p>
      <w:pPr>
        <w:pStyle w:val="ListParagraph"/>
        <w:spacing w:before="57" w:after="57"/>
        <w:ind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3">
        <w:r>
          <w:rPr>
            <w:rStyle w:val="ListLabel184"/>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before="57" w:after="57"/>
        <w:ind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4">
        <w:r>
          <w:rPr>
            <w:rStyle w:val="ListLabel184"/>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before="57" w:after="57"/>
        <w:ind w:left="0"/>
        <w:contextualSpacing w:val="false"/>
        <w:jc w:val="both"/>
        <w:rPr>
          <w:rFonts w:ascii="Verdana" w:hAnsi="Verdana"/>
          <w:sz w:val="20"/>
          <w:szCs w:val="20"/>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5">
        <w:r>
          <w:rPr>
            <w:rStyle w:val="ListLabel185"/>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6">
        <w:r>
          <w:rPr>
            <w:rStyle w:val="ListLabel184"/>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before="57" w:after="57"/>
        <w:jc w:val="both"/>
        <w:rPr>
          <w:rFonts w:ascii="Verdana" w:hAnsi="Verdana"/>
          <w:sz w:val="20"/>
          <w:szCs w:val="20"/>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before="57" w:after="57"/>
        <w:ind w:left="0"/>
        <w:contextualSpacing w:val="false"/>
        <w:jc w:val="both"/>
        <w:rPr>
          <w:rFonts w:ascii="Verdana" w:hAnsi="Verdana"/>
          <w:sz w:val="20"/>
          <w:szCs w:val="20"/>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before="57" w:after="57"/>
        <w:ind w:left="0"/>
        <w:contextualSpacing w:val="false"/>
        <w:jc w:val="both"/>
        <w:rPr>
          <w:rFonts w:ascii="Verdana" w:hAnsi="Verdana"/>
          <w:sz w:val="20"/>
          <w:szCs w:val="20"/>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before="57" w:after="57"/>
        <w:ind w:left="0"/>
        <w:contextualSpacing w:val="false"/>
        <w:jc w:val="both"/>
        <w:rPr>
          <w:rFonts w:ascii="Verdana" w:hAnsi="Verdana"/>
          <w:sz w:val="20"/>
          <w:szCs w:val="20"/>
        </w:rPr>
      </w:pPr>
      <w:r>
        <w:rPr>
          <w:rFonts w:cs="Arial" w:ascii="Verdana" w:hAnsi="Verdana"/>
          <w:bCs/>
          <w:color w:val="000000"/>
          <w:sz w:val="20"/>
          <w:szCs w:val="20"/>
        </w:rPr>
        <w:t>9.1.2.3 O licitante será convocado para manifestação previamente à sua desclassificação.</w:t>
      </w:r>
    </w:p>
    <w:p>
      <w:pPr>
        <w:pStyle w:val="ListParagraph"/>
        <w:spacing w:before="57" w:after="57"/>
        <w:ind w:left="0"/>
        <w:contextualSpacing w:val="false"/>
        <w:jc w:val="both"/>
        <w:rPr>
          <w:rFonts w:ascii="Verdana" w:hAnsi="Verdana"/>
          <w:sz w:val="20"/>
          <w:szCs w:val="20"/>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before="57" w:after="57"/>
        <w:ind w:left="0"/>
        <w:contextualSpacing w:val="false"/>
        <w:jc w:val="both"/>
        <w:rPr>
          <w:rFonts w:ascii="Verdana" w:hAnsi="Verdana"/>
          <w:sz w:val="20"/>
          <w:szCs w:val="20"/>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before="57" w:after="57"/>
        <w:ind w:hanging="0" w:left="0"/>
        <w:contextualSpacing w:val="false"/>
        <w:jc w:val="both"/>
        <w:rPr>
          <w:rFonts w:ascii="Verdana" w:hAnsi="Verdana"/>
          <w:sz w:val="20"/>
          <w:szCs w:val="20"/>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before="57" w:after="57"/>
        <w:ind w:hanging="0" w:left="0"/>
        <w:contextualSpacing w:val="false"/>
        <w:rPr>
          <w:rFonts w:ascii="Verdana" w:hAnsi="Verdana"/>
          <w:sz w:val="20"/>
          <w:szCs w:val="20"/>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before="57" w:after="57"/>
        <w:ind w:hanging="0" w:left="0"/>
        <w:contextualSpacing w:val="false"/>
        <w:rPr>
          <w:rFonts w:ascii="Verdana" w:hAnsi="Verdana"/>
          <w:sz w:val="20"/>
          <w:szCs w:val="20"/>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before="57" w:after="57"/>
        <w:ind w:hanging="0" w:left="0"/>
        <w:contextualSpacing w:val="false"/>
        <w:rPr>
          <w:rFonts w:ascii="Verdana" w:hAnsi="Verdana"/>
          <w:sz w:val="20"/>
          <w:szCs w:val="20"/>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before="57" w:after="57"/>
        <w:ind w:hanging="0" w:left="0"/>
        <w:contextualSpacing w:val="false"/>
        <w:rPr>
          <w:rFonts w:ascii="Verdana" w:hAnsi="Verdana"/>
          <w:sz w:val="20"/>
          <w:szCs w:val="20"/>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before="57" w:after="57"/>
        <w:ind w:hanging="0" w:left="0"/>
        <w:contextualSpacing w:val="false"/>
        <w:rPr>
          <w:rFonts w:ascii="Verdana" w:hAnsi="Verdana"/>
          <w:sz w:val="20"/>
          <w:szCs w:val="20"/>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b/>
          <w:bCs/>
          <w:color w:val="000000"/>
          <w:sz w:val="20"/>
          <w:szCs w:val="20"/>
        </w:rPr>
        <w:t>Habilitação jurídica:</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7">
        <w:r>
          <w:rPr>
            <w:rStyle w:val="ListLabel186"/>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0"/>
          <w:numId w:val="0"/>
        </w:numPr>
        <w:spacing w:before="0" w:after="0"/>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0" w:after="0"/>
        <w:ind w:hanging="0" w:left="0"/>
        <w:rPr>
          <w:rFonts w:ascii="Verdana" w:hAnsi="Verdana"/>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2"/>
        </w:numPr>
        <w:tabs>
          <w:tab w:val="clear" w:pos="708"/>
          <w:tab w:val="left" w:pos="617" w:leader="none"/>
        </w:tabs>
        <w:spacing w:before="0" w:after="0"/>
        <w:ind w:hanging="0" w:left="0"/>
        <w:contextualSpacing w:val="false"/>
        <w:jc w:val="both"/>
        <w:rPr>
          <w:rFonts w:ascii="Verdana" w:hAnsi="Verdana"/>
          <w:sz w:val="20"/>
          <w:szCs w:val="20"/>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before="57" w:after="57"/>
        <w:ind w:hanging="0" w:left="0"/>
        <w:jc w:val="both"/>
        <w:rPr>
          <w:rFonts w:ascii="Verdana" w:hAnsi="Verdana"/>
          <w:sz w:val="20"/>
          <w:szCs w:val="20"/>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before="57" w:after="57"/>
        <w:ind w:hanging="0" w:left="0"/>
        <w:jc w:val="both"/>
        <w:rPr>
          <w:rFonts w:ascii="Verdana" w:hAnsi="Verdana"/>
          <w:sz w:val="20"/>
          <w:szCs w:val="20"/>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before="57" w:after="57"/>
        <w:ind w:hanging="0" w:left="0"/>
        <w:jc w:val="both"/>
        <w:rPr>
          <w:rFonts w:ascii="Verdana" w:hAnsi="Verdana"/>
          <w:sz w:val="20"/>
          <w:szCs w:val="20"/>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before="57" w:after="57"/>
        <w:ind w:hanging="0" w:left="0"/>
        <w:jc w:val="both"/>
        <w:rPr>
          <w:rFonts w:ascii="Verdana" w:hAnsi="Verdana"/>
          <w:sz w:val="20"/>
          <w:szCs w:val="20"/>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before="57" w:after="57"/>
        <w:ind w:hanging="0" w:left="0"/>
        <w:jc w:val="both"/>
        <w:rPr>
          <w:rFonts w:ascii="Verdana" w:hAnsi="Verdana"/>
          <w:sz w:val="20"/>
          <w:szCs w:val="20"/>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before="0" w:after="0"/>
        <w:ind w:hanging="0" w:left="0"/>
        <w:contextualSpacing w:val="false"/>
        <w:jc w:val="both"/>
        <w:rPr>
          <w:rFonts w:ascii="Verdana" w:hAnsi="Verdana"/>
          <w:sz w:val="20"/>
          <w:szCs w:val="20"/>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0" w:after="0"/>
        <w:ind w:hanging="0" w:left="0"/>
        <w:rPr>
          <w:rFonts w:ascii="Verdana" w:hAnsi="Verdana"/>
        </w:rPr>
      </w:pPr>
      <w:r>
        <w:rPr>
          <w:rFonts w:cs="Arial" w:ascii="Verdana" w:hAnsi="Verdana"/>
          <w:lang w:eastAsia="en-US"/>
        </w:rPr>
        <w:t>DOS RECURSOS</w:t>
      </w:r>
    </w:p>
    <w:p>
      <w:pPr>
        <w:pStyle w:val="ListParagraph"/>
        <w:numPr>
          <w:ilvl w:val="1"/>
          <w:numId w:val="2"/>
        </w:numPr>
        <w:spacing w:before="0" w:after="0"/>
        <w:ind w:hanging="0" w:left="0"/>
        <w:contextualSpacing w:val="false"/>
        <w:jc w:val="both"/>
        <w:rPr>
          <w:rFonts w:ascii="Verdana" w:hAnsi="Verdana"/>
          <w:sz w:val="20"/>
          <w:szCs w:val="20"/>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before="0" w:after="0"/>
        <w:ind w:hanging="0" w:left="0"/>
        <w:contextualSpacing w:val="false"/>
        <w:jc w:val="both"/>
        <w:rPr>
          <w:rFonts w:ascii="Verdana" w:hAnsi="Verdana"/>
          <w:sz w:val="20"/>
          <w:szCs w:val="20"/>
        </w:rPr>
      </w:pPr>
      <w:r>
        <w:rPr>
          <w:rFonts w:cs="Arial" w:ascii="Verdana" w:hAnsi="Verdana"/>
          <w:color w:val="000000"/>
          <w:sz w:val="20"/>
          <w:szCs w:val="20"/>
        </w:rPr>
        <w:t>Os autos do processo permanecerão com vista franqueada aos interessados, no endereço constante neste Edital.</w:t>
      </w:r>
    </w:p>
    <w:p>
      <w:pPr>
        <w:pStyle w:val="ListParagraph"/>
        <w:spacing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0" w:after="0"/>
        <w:ind w:hanging="0" w:left="0"/>
        <w:rPr>
          <w:rFonts w:ascii="Verdana" w:hAnsi="Verdana"/>
        </w:rPr>
      </w:pPr>
      <w:r>
        <w:rPr>
          <w:rFonts w:cs="Arial" w:ascii="Verdana" w:hAnsi="Verdana"/>
          <w:lang w:eastAsia="en-US"/>
        </w:rPr>
        <w:t>DA REABERTURA DA SESSÃO PÚBLICA</w:t>
      </w:r>
    </w:p>
    <w:p>
      <w:pPr>
        <w:pStyle w:val="Nivel01"/>
        <w:keepNext w:val="false"/>
        <w:keepLines w:val="false"/>
        <w:numPr>
          <w:ilvl w:val="1"/>
          <w:numId w:val="2"/>
        </w:numPr>
        <w:spacing w:before="0" w:after="0"/>
        <w:ind w:hanging="0" w:left="0"/>
        <w:rPr>
          <w:rFonts w:ascii="Verdana" w:hAnsi="Verdana"/>
        </w:rPr>
      </w:pPr>
      <w:r>
        <w:rPr>
          <w:rFonts w:cs="Arial" w:ascii="Verdana" w:hAnsi="Verdana"/>
          <w:b w:val="false"/>
          <w:bCs w:val="false"/>
          <w:color w:val="auto"/>
        </w:rPr>
        <w:t>A sessão pública poderá ser reaberta:</w:t>
      </w:r>
    </w:p>
    <w:p>
      <w:pPr>
        <w:pStyle w:val="Nivel01"/>
        <w:keepNext w:val="false"/>
        <w:keepLines w:val="false"/>
        <w:numPr>
          <w:ilvl w:val="2"/>
          <w:numId w:val="2"/>
        </w:numPr>
        <w:tabs>
          <w:tab w:val="left" w:pos="567" w:leader="none"/>
          <w:tab w:val="left" w:pos="850" w:leader="none"/>
        </w:tabs>
        <w:spacing w:before="57" w:after="57"/>
        <w:ind w:hanging="0" w:left="0"/>
        <w:rPr>
          <w:rFonts w:ascii="Verdana" w:hAnsi="Verdana"/>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before="57" w:after="57"/>
        <w:ind w:hanging="0" w:left="0"/>
        <w:rPr>
          <w:rFonts w:ascii="Verdana" w:hAnsi="Verdana"/>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before="57" w:after="57"/>
        <w:ind w:hanging="0" w:left="0"/>
        <w:rPr>
          <w:rFonts w:ascii="Verdana" w:hAnsi="Verdana"/>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before="57" w:after="57"/>
        <w:ind w:hanging="0" w:left="0"/>
        <w:rPr>
          <w:rFonts w:ascii="Verdana" w:hAnsi="Verdana"/>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before="0" w:after="0"/>
        <w:ind w:hanging="0" w:left="0"/>
        <w:rPr>
          <w:rFonts w:ascii="Verdana" w:hAnsi="Verdana"/>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rPr>
          <w:rFonts w:ascii="Verdana" w:hAnsi="Verdana" w:cs="Arial"/>
          <w:sz w:val="20"/>
          <w:szCs w:val="20"/>
        </w:rPr>
      </w:pPr>
      <w:r>
        <w:rPr>
          <w:rFonts w:cs="Arial"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 xml:space="preserve">DA ADJUDICAÇÃO E HOMOLOGAÇÃO </w:t>
      </w:r>
    </w:p>
    <w:p>
      <w:pPr>
        <w:pStyle w:val="ListParagraph"/>
        <w:numPr>
          <w:ilvl w:val="1"/>
          <w:numId w:val="2"/>
        </w:numPr>
        <w:spacing w:before="0" w:after="0"/>
        <w:ind w:hanging="0" w:left="0"/>
        <w:contextualSpacing w:val="false"/>
        <w:jc w:val="both"/>
        <w:rPr>
          <w:rFonts w:ascii="Verdana" w:hAnsi="Verdana"/>
          <w:sz w:val="20"/>
          <w:szCs w:val="20"/>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before="0" w:after="0"/>
        <w:ind w:hanging="0" w:left="0"/>
        <w:contextualSpacing w:val="false"/>
        <w:jc w:val="both"/>
        <w:rPr>
          <w:rFonts w:ascii="Verdana" w:hAnsi="Verdana"/>
          <w:sz w:val="20"/>
          <w:szCs w:val="20"/>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color w:val="auto"/>
        </w:rPr>
        <w:t xml:space="preserve">DA GARANTIA DE EXECUÇÃO </w:t>
      </w:r>
    </w:p>
    <w:p>
      <w:pPr>
        <w:pStyle w:val="ListParagraph"/>
        <w:numPr>
          <w:ilvl w:val="1"/>
          <w:numId w:val="2"/>
        </w:numPr>
        <w:spacing w:before="0" w:after="0"/>
        <w:ind w:hanging="0" w:left="0"/>
        <w:contextualSpacing w:val="false"/>
        <w:jc w:val="both"/>
        <w:rPr>
          <w:rFonts w:ascii="Verdana" w:hAnsi="Verdana"/>
          <w:sz w:val="20"/>
          <w:szCs w:val="20"/>
        </w:rPr>
      </w:pPr>
      <w:r>
        <w:rPr>
          <w:rFonts w:cs="Arial" w:ascii="Verdana" w:hAnsi="Verdana"/>
          <w:sz w:val="20"/>
          <w:szCs w:val="20"/>
        </w:rPr>
        <w:t>Não haverá exigência de garantia de execução para a presente contratação.</w:t>
      </w:r>
    </w:p>
    <w:p>
      <w:pPr>
        <w:pStyle w:val="ListParagraph"/>
        <w:numPr>
          <w:ilvl w:val="2"/>
          <w:numId w:val="2"/>
        </w:numPr>
        <w:tabs>
          <w:tab w:val="clear" w:pos="708"/>
          <w:tab w:val="left" w:pos="850" w:leader="none"/>
        </w:tabs>
        <w:spacing w:before="57" w:after="57"/>
        <w:ind w:hanging="0" w:left="0"/>
        <w:contextualSpacing w:val="false"/>
        <w:jc w:val="both"/>
        <w:rPr>
          <w:rFonts w:ascii="Verdana" w:hAnsi="Verdana"/>
          <w:sz w:val="20"/>
          <w:szCs w:val="20"/>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2"/>
        </w:numPr>
        <w:tabs>
          <w:tab w:val="clear" w:pos="708"/>
          <w:tab w:val="left" w:pos="850" w:leader="none"/>
        </w:tabs>
        <w:spacing w:before="0" w:after="0"/>
        <w:ind w:hanging="0" w:left="0"/>
        <w:contextualSpacing w:val="false"/>
        <w:jc w:val="both"/>
        <w:rPr>
          <w:rFonts w:ascii="Verdana" w:hAnsi="Verdana"/>
          <w:sz w:val="20"/>
          <w:szCs w:val="20"/>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08"/>
          <w:tab w:val="left" w:pos="850" w:leader="none"/>
        </w:tabs>
        <w:spacing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ListParagraph"/>
        <w:tabs>
          <w:tab w:val="clear" w:pos="708"/>
          <w:tab w:val="left" w:pos="850" w:leader="none"/>
        </w:tabs>
        <w:spacing w:before="0" w:after="0"/>
        <w:ind w:left="0"/>
        <w:contextualSpacing w:val="false"/>
        <w:jc w:val="both"/>
        <w:rPr>
          <w:rFonts w:ascii="Verdana" w:hAnsi="Verdana"/>
          <w:sz w:val="20"/>
          <w:szCs w:val="20"/>
        </w:rPr>
      </w:pPr>
      <w:r>
        <w:rPr>
          <w:rFonts w:cs="Arial" w:ascii="Verdana" w:hAnsi="Verdana"/>
          <w:b/>
          <w:bCs/>
          <w:sz w:val="20"/>
          <w:szCs w:val="20"/>
        </w:rPr>
        <w:t>15 DA ATA DE REGISTRO DE PREÇOS</w:t>
      </w:r>
    </w:p>
    <w:p>
      <w:pPr>
        <w:pStyle w:val="ListParagraph"/>
        <w:tabs>
          <w:tab w:val="clear" w:pos="708"/>
          <w:tab w:val="left" w:pos="850" w:leader="none"/>
        </w:tabs>
        <w:spacing w:before="57" w:after="57"/>
        <w:ind w:left="0"/>
        <w:contextualSpacing w:val="false"/>
        <w:jc w:val="both"/>
        <w:rPr>
          <w:rFonts w:ascii="Verdana" w:hAnsi="Verdana"/>
          <w:sz w:val="20"/>
          <w:szCs w:val="20"/>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tabs>
          <w:tab w:val="clear" w:pos="708"/>
          <w:tab w:val="left" w:pos="850" w:leader="none"/>
        </w:tabs>
        <w:spacing w:before="57" w:after="57"/>
        <w:ind w:left="0"/>
        <w:contextualSpacing w:val="false"/>
        <w:jc w:val="both"/>
        <w:rPr>
          <w:rFonts w:ascii="Verdana" w:hAnsi="Verdana"/>
          <w:sz w:val="20"/>
          <w:szCs w:val="20"/>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tabs>
          <w:tab w:val="clear" w:pos="708"/>
          <w:tab w:val="left" w:pos="850" w:leader="none"/>
        </w:tabs>
        <w:spacing w:before="57" w:after="57"/>
        <w:ind w:left="0"/>
        <w:contextualSpacing w:val="false"/>
        <w:jc w:val="both"/>
        <w:rPr>
          <w:rFonts w:ascii="Verdana" w:hAnsi="Verdana"/>
          <w:sz w:val="20"/>
          <w:szCs w:val="20"/>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tabs>
          <w:tab w:val="clear" w:pos="708"/>
          <w:tab w:val="left" w:pos="850" w:leader="none"/>
        </w:tabs>
        <w:spacing w:before="57" w:after="57"/>
        <w:ind w:left="0"/>
        <w:contextualSpacing w:val="false"/>
        <w:jc w:val="both"/>
        <w:rPr>
          <w:rFonts w:ascii="Verdana" w:hAnsi="Verdana"/>
          <w:sz w:val="20"/>
          <w:szCs w:val="20"/>
        </w:rPr>
      </w:pPr>
      <w:r>
        <w:rPr>
          <w:rFonts w:cs="Arial"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tabs>
          <w:tab w:val="clear" w:pos="708"/>
          <w:tab w:val="left" w:pos="850" w:leader="none"/>
        </w:tabs>
        <w:spacing w:before="57" w:after="57"/>
        <w:ind w:left="0"/>
        <w:contextualSpacing w:val="false"/>
        <w:jc w:val="both"/>
        <w:rPr>
          <w:rFonts w:ascii="Verdana" w:hAnsi="Verdana"/>
          <w:sz w:val="20"/>
          <w:szCs w:val="20"/>
        </w:rPr>
      </w:pPr>
      <w:r>
        <w:rPr>
          <w:rFonts w:cs="Arial" w:ascii="Verdana" w:hAnsi="Verdana"/>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spacing w:lineRule="auto" w:line="240" w:before="0" w:after="0"/>
        <w:ind w:hanging="0" w:left="0"/>
        <w:rPr>
          <w:rFonts w:ascii="Verdana" w:hAnsi="Verdana"/>
        </w:rPr>
      </w:pPr>
      <w:r>
        <w:rPr>
          <w:rFonts w:eastAsia="Segoe UI" w:cs="Arial" w:ascii="Verdana" w:hAnsi="Verdana"/>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istParagraph"/>
        <w:tabs>
          <w:tab w:val="clear" w:pos="708"/>
          <w:tab w:val="left" w:pos="850" w:leader="none"/>
        </w:tabs>
        <w:spacing w:before="0" w:after="0"/>
        <w:ind w:left="0"/>
        <w:contextualSpacing w:val="false"/>
        <w:jc w:val="both"/>
        <w:rPr>
          <w:rFonts w:ascii="Verdana" w:hAnsi="Verdana"/>
          <w:bCs/>
          <w:sz w:val="20"/>
          <w:szCs w:val="20"/>
        </w:rPr>
      </w:pPr>
      <w:r>
        <w:rPr>
          <w:rFonts w:ascii="Verdana" w:hAnsi="Verdana"/>
          <w:bCs/>
          <w:sz w:val="20"/>
          <w:szCs w:val="20"/>
        </w:rPr>
      </w:r>
    </w:p>
    <w:p>
      <w:pPr>
        <w:pStyle w:val="Nivel01"/>
        <w:spacing w:before="0" w:after="0"/>
        <w:rPr>
          <w:rFonts w:ascii="Verdana" w:hAnsi="Verdana"/>
        </w:rPr>
      </w:pPr>
      <w:r>
        <w:rPr>
          <w:rFonts w:cs="Arial" w:ascii="Verdana" w:hAnsi="Verdana"/>
        </w:rPr>
        <w:t>16. DO REAJUSTAMENTO EM SENTIDO GERAL</w:t>
      </w:r>
    </w:p>
    <w:p>
      <w:pPr>
        <w:pStyle w:val="ListParagraph"/>
        <w:spacing w:before="0" w:after="0"/>
        <w:ind w:left="0"/>
        <w:contextualSpacing w:val="false"/>
        <w:jc w:val="both"/>
        <w:rPr>
          <w:rFonts w:ascii="Verdana" w:hAnsi="Verdana"/>
          <w:sz w:val="20"/>
          <w:szCs w:val="20"/>
        </w:rPr>
      </w:pPr>
      <w:r>
        <w:rPr>
          <w:rFonts w:cs="Arial" w:ascii="Verdana" w:hAnsi="Verdana"/>
          <w:color w:val="000000"/>
          <w:sz w:val="20"/>
          <w:szCs w:val="20"/>
        </w:rPr>
        <w:t xml:space="preserve">16.1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spacing w:before="0" w:after="0"/>
        <w:rPr>
          <w:rFonts w:ascii="Verdana" w:hAnsi="Verdana"/>
        </w:rPr>
      </w:pPr>
      <w:r>
        <w:rPr>
          <w:rFonts w:cs="Arial" w:ascii="Verdana" w:hAnsi="Verdana"/>
        </w:rPr>
        <w:t>17. DA ACEITAÇÃO DO OBJETO E DA FISCALIZAÇÃO</w:t>
      </w:r>
    </w:p>
    <w:p>
      <w:pPr>
        <w:pStyle w:val="ListParagraph"/>
        <w:spacing w:before="0" w:after="0"/>
        <w:ind w:left="0"/>
        <w:contextualSpacing w:val="false"/>
        <w:jc w:val="both"/>
        <w:rPr>
          <w:rFonts w:ascii="Verdana" w:hAnsi="Verdana"/>
          <w:sz w:val="20"/>
          <w:szCs w:val="20"/>
        </w:rPr>
      </w:pPr>
      <w:r>
        <w:rPr>
          <w:rFonts w:cs="Arial" w:ascii="Verdana" w:hAnsi="Verdana"/>
          <w:color w:val="000000"/>
          <w:sz w:val="20"/>
          <w:szCs w:val="20"/>
          <w:lang w:eastAsia="en-US"/>
        </w:rPr>
        <w:t>17.1 Os critérios de recebimento e aceitação do objeto e de fiscalização estão previstos no Termo de Referência e Minuta da Ata anexo a este edital.</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spacing w:before="0" w:after="0"/>
        <w:rPr>
          <w:rFonts w:ascii="Verdana" w:hAnsi="Verdana"/>
        </w:rPr>
      </w:pPr>
      <w:r>
        <w:rPr>
          <w:rFonts w:cs="Arial" w:ascii="Verdana" w:hAnsi="Verdana"/>
          <w:lang w:eastAsia="en-US"/>
        </w:rPr>
        <w:t>18. DAS OBRIGAÇÕES DA CONTRATANTE E DA CONTRATADA</w:t>
      </w:r>
    </w:p>
    <w:p>
      <w:pPr>
        <w:pStyle w:val="ListParagraph"/>
        <w:spacing w:before="0" w:after="0"/>
        <w:ind w:left="0"/>
        <w:contextualSpacing w:val="false"/>
        <w:jc w:val="both"/>
        <w:rPr>
          <w:rFonts w:ascii="Verdana" w:hAnsi="Verdana"/>
          <w:sz w:val="20"/>
          <w:szCs w:val="20"/>
        </w:rPr>
      </w:pPr>
      <w:r>
        <w:rPr>
          <w:rFonts w:cs="Arial" w:ascii="Verdana" w:hAnsi="Verdana"/>
          <w:color w:val="000000"/>
          <w:sz w:val="20"/>
          <w:szCs w:val="20"/>
          <w:lang w:eastAsia="en-US"/>
        </w:rPr>
        <w:t>18.1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obrigações da Contratante e da Contratada são as estabelecidas no Termo de Referência e Minuta da Ata anexo a este edital.</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spacing w:before="0" w:after="0"/>
        <w:rPr>
          <w:rFonts w:ascii="Verdana" w:hAnsi="Verdana"/>
        </w:rPr>
      </w:pPr>
      <w:r>
        <w:rPr>
          <w:rFonts w:cs="Tahoma" w:ascii="Verdana" w:hAnsi="Verdana"/>
          <w:color w:val="auto"/>
        </w:rPr>
        <w:t>19</w:t>
      </w:r>
      <w:r>
        <w:rPr>
          <w:rFonts w:cs="Arial" w:ascii="Verdana" w:hAnsi="Verdana"/>
        </w:rPr>
        <w:t>. DO PAGAMENTO</w:t>
      </w:r>
    </w:p>
    <w:p>
      <w:pPr>
        <w:pStyle w:val="ListParagraph"/>
        <w:spacing w:before="0" w:after="0"/>
        <w:ind w:left="0"/>
        <w:contextualSpacing w:val="false"/>
        <w:jc w:val="both"/>
        <w:rPr>
          <w:rFonts w:ascii="Verdana" w:hAnsi="Verdana"/>
          <w:sz w:val="20"/>
          <w:szCs w:val="20"/>
        </w:rPr>
      </w:pPr>
      <w:r>
        <w:rPr>
          <w:rFonts w:cs="Arial" w:ascii="Verdana" w:hAnsi="Verdana"/>
          <w:color w:val="000000"/>
          <w:sz w:val="20"/>
          <w:szCs w:val="20"/>
          <w:lang w:eastAsia="en-US"/>
        </w:rPr>
        <w:t>19.1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regras acerca do pagamento são as estabelecidas no Termo de Referência e Minuta de Ata anexo a este edital.</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spacing w:before="0" w:after="0"/>
        <w:rPr>
          <w:rFonts w:ascii="Verdana" w:hAnsi="Verdana"/>
        </w:rPr>
      </w:pPr>
      <w:r>
        <w:rPr>
          <w:rFonts w:cs="Arial" w:ascii="Verdana" w:hAnsi="Verdana"/>
        </w:rPr>
        <w:t>20. DAS SANÇÕES ADMINISTRATIVAS.</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20.1.1 D</w:t>
      </w:r>
      <w:bookmarkStart w:id="13"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3"/>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 xml:space="preserve">20.1.2 </w:t>
      </w:r>
      <w:bookmarkStart w:id="14" w:name="_Ref114668108"/>
      <w:r>
        <w:rPr>
          <w:rFonts w:cs="Arial" w:ascii="Verdana" w:hAnsi="Verdana"/>
          <w:sz w:val="20"/>
          <w:szCs w:val="20"/>
          <w:shd w:fill="FFFFFF" w:val="clear"/>
        </w:rPr>
        <w:t>Salvo em decorrência de fato superveniente devidamente justificado, não mantiver a proposta em especial quando:</w:t>
      </w:r>
      <w:bookmarkEnd w:id="14"/>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before="57" w:after="57"/>
        <w:jc w:val="both"/>
        <w:rPr>
          <w:rFonts w:ascii="Verdana" w:hAnsi="Verdana"/>
          <w:sz w:val="20"/>
          <w:szCs w:val="20"/>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before="57" w:after="57"/>
        <w:jc w:val="both"/>
        <w:rPr>
          <w:rFonts w:ascii="Verdana" w:hAnsi="Verdana"/>
          <w:sz w:val="20"/>
          <w:szCs w:val="20"/>
        </w:rPr>
      </w:pPr>
      <w:r>
        <w:rPr>
          <w:rFonts w:ascii="Verdana" w:hAnsi="Verdana"/>
          <w:sz w:val="20"/>
          <w:szCs w:val="20"/>
        </w:rPr>
        <w:t>20.1.4 A</w:t>
      </w:r>
      <w:bookmarkStart w:id="15" w:name="_Ref114668249"/>
      <w:r>
        <w:rPr>
          <w:rFonts w:ascii="Verdana" w:hAnsi="Verdana"/>
          <w:sz w:val="20"/>
          <w:szCs w:val="20"/>
        </w:rPr>
        <w:t>presentar declaração ou documentação falsa exigida para o certame ou prestar declaração falsa durante a licitação</w:t>
      </w:r>
      <w:bookmarkEnd w:id="15"/>
    </w:p>
    <w:p>
      <w:pPr>
        <w:pStyle w:val="Normal"/>
        <w:spacing w:before="57" w:after="57"/>
        <w:jc w:val="both"/>
        <w:rPr>
          <w:rFonts w:ascii="Verdana" w:hAnsi="Verdana"/>
          <w:sz w:val="20"/>
          <w:szCs w:val="20"/>
        </w:rPr>
      </w:pPr>
      <w:r>
        <w:rPr>
          <w:rFonts w:ascii="Verdana" w:hAnsi="Verdana"/>
          <w:sz w:val="20"/>
          <w:szCs w:val="20"/>
        </w:rPr>
        <w:t>20.1.5 F</w:t>
      </w:r>
      <w:bookmarkStart w:id="16" w:name="_Ref114668245"/>
      <w:r>
        <w:rPr>
          <w:rFonts w:ascii="Verdana" w:hAnsi="Verdana"/>
          <w:sz w:val="20"/>
          <w:szCs w:val="20"/>
        </w:rPr>
        <w:t>raudar a licitação</w:t>
      </w:r>
      <w:bookmarkEnd w:id="16"/>
    </w:p>
    <w:p>
      <w:pPr>
        <w:pStyle w:val="Normal"/>
        <w:spacing w:before="57" w:after="57"/>
        <w:jc w:val="both"/>
        <w:rPr>
          <w:rFonts w:ascii="Verdana" w:hAnsi="Verdana"/>
          <w:sz w:val="20"/>
          <w:szCs w:val="20"/>
        </w:rPr>
      </w:pPr>
      <w:r>
        <w:rPr>
          <w:rFonts w:ascii="Verdana" w:hAnsi="Verdana"/>
          <w:sz w:val="20"/>
          <w:szCs w:val="20"/>
        </w:rPr>
        <w:t>20.1.6 C</w:t>
      </w:r>
      <w:bookmarkStart w:id="17" w:name="_Ref114668247"/>
      <w:r>
        <w:rPr>
          <w:rFonts w:ascii="Verdana" w:hAnsi="Verdana"/>
          <w:sz w:val="20"/>
          <w:szCs w:val="20"/>
        </w:rPr>
        <w:t>omportar-se de modo inidôneo ou cometer fraude de qualquer natureza, em especial quando:</w:t>
      </w:r>
      <w:bookmarkEnd w:id="17"/>
    </w:p>
    <w:p>
      <w:pPr>
        <w:pStyle w:val="Normal"/>
        <w:spacing w:before="57" w:after="57"/>
        <w:jc w:val="both"/>
        <w:rPr>
          <w:rFonts w:ascii="Verdana" w:hAnsi="Verdana"/>
          <w:sz w:val="20"/>
          <w:szCs w:val="20"/>
        </w:rPr>
      </w:pPr>
      <w:r>
        <w:rPr>
          <w:rFonts w:ascii="Verdana" w:hAnsi="Verdana"/>
          <w:sz w:val="20"/>
          <w:szCs w:val="20"/>
        </w:rPr>
        <w:t>20.1.6.1 Agir em conluio ou em desconformidade com a lei;</w:t>
      </w:r>
    </w:p>
    <w:p>
      <w:pPr>
        <w:pStyle w:val="Normal"/>
        <w:spacing w:before="57" w:after="57"/>
        <w:jc w:val="both"/>
        <w:rPr>
          <w:rFonts w:ascii="Verdana" w:hAnsi="Verdana"/>
          <w:sz w:val="20"/>
          <w:szCs w:val="20"/>
        </w:rPr>
      </w:pPr>
      <w:r>
        <w:rPr>
          <w:rFonts w:ascii="Verdana" w:hAnsi="Verdana"/>
          <w:sz w:val="20"/>
          <w:szCs w:val="20"/>
        </w:rPr>
        <w:t>20.1.6.2 Induzir deliberadamente a erro no julgamento;</w:t>
      </w:r>
    </w:p>
    <w:p>
      <w:pPr>
        <w:pStyle w:val="Normal"/>
        <w:spacing w:before="57" w:after="57"/>
        <w:jc w:val="both"/>
        <w:rPr>
          <w:rFonts w:ascii="Verdana" w:hAnsi="Verdana"/>
          <w:sz w:val="20"/>
          <w:szCs w:val="20"/>
        </w:rPr>
      </w:pPr>
      <w:r>
        <w:rPr>
          <w:rFonts w:ascii="Verdana" w:hAnsi="Verdana"/>
          <w:sz w:val="20"/>
          <w:szCs w:val="20"/>
        </w:rPr>
        <w:t>20.1.6.3 Apresentar amostra falsificada ou deteriorada;</w:t>
      </w:r>
    </w:p>
    <w:p>
      <w:pPr>
        <w:pStyle w:val="Normal"/>
        <w:spacing w:before="57" w:after="57"/>
        <w:jc w:val="both"/>
        <w:rPr>
          <w:rFonts w:ascii="Verdana" w:hAnsi="Verdana"/>
          <w:sz w:val="20"/>
          <w:szCs w:val="20"/>
        </w:rPr>
      </w:pPr>
      <w:r>
        <w:rPr>
          <w:rFonts w:ascii="Verdana" w:hAnsi="Verdana"/>
          <w:sz w:val="20"/>
          <w:szCs w:val="20"/>
        </w:rPr>
        <w:t>20.1.7 P</w:t>
      </w:r>
      <w:bookmarkStart w:id="18" w:name="_Ref114668251"/>
      <w:r>
        <w:rPr>
          <w:rFonts w:ascii="Verdana" w:hAnsi="Verdana"/>
          <w:sz w:val="20"/>
          <w:szCs w:val="20"/>
        </w:rPr>
        <w:t>raticar atos ilícitos com vistas a frustrar os objetivos da licitação</w:t>
      </w:r>
      <w:bookmarkEnd w:id="18"/>
    </w:p>
    <w:p>
      <w:pPr>
        <w:pStyle w:val="Normal"/>
        <w:spacing w:before="57" w:after="57"/>
        <w:jc w:val="both"/>
        <w:rPr/>
      </w:pPr>
      <w:r>
        <w:rPr>
          <w:rFonts w:ascii="Verdana" w:hAnsi="Verdana"/>
          <w:sz w:val="20"/>
          <w:szCs w:val="20"/>
        </w:rPr>
        <w:t>20.1.8 P</w:t>
      </w:r>
      <w:bookmarkStart w:id="19" w:name="_Ref114668252"/>
      <w:r>
        <w:rPr>
          <w:rFonts w:ascii="Verdana" w:hAnsi="Verdana"/>
          <w:sz w:val="20"/>
          <w:szCs w:val="20"/>
        </w:rPr>
        <w:t xml:space="preserve">raticar ato lesivo previsto no </w:t>
      </w:r>
      <w:r>
        <w:fldChar w:fldCharType="begin"/>
      </w:r>
      <w:r>
        <w:rPr>
          <w:rStyle w:val="ListLabel187"/>
          <w:sz w:val="20"/>
          <w:szCs w:val="20"/>
          <w:rFonts w:ascii="Verdana" w:hAnsi="Verdana"/>
          <w:color w:val="000000"/>
        </w:rPr>
        <w:instrText xml:space="preserve"> HYPERLINK "https://www.planalto.gov.br/ccivil_03/_ato2011-2014/2013/lei/l12846.htm" \l "art5"</w:instrText>
      </w:r>
      <w:r>
        <w:rPr>
          <w:rStyle w:val="ListLabel187"/>
          <w:sz w:val="20"/>
          <w:szCs w:val="20"/>
          <w:rFonts w:ascii="Verdana" w:hAnsi="Verdana"/>
          <w:color w:val="000000"/>
        </w:rPr>
        <w:fldChar w:fldCharType="separate"/>
      </w:r>
      <w:r>
        <w:rPr>
          <w:rStyle w:val="ListLabel187"/>
          <w:rFonts w:ascii="Verdana" w:hAnsi="Verdana"/>
          <w:color w:val="000000"/>
          <w:sz w:val="20"/>
          <w:szCs w:val="20"/>
        </w:rPr>
        <w:t>art. 5º da Lei n.º 12.846, de 2013</w:t>
      </w:r>
      <w:r>
        <w:rPr>
          <w:rStyle w:val="ListLabel187"/>
          <w:sz w:val="20"/>
          <w:szCs w:val="20"/>
          <w:rFonts w:ascii="Verdana" w:hAnsi="Verdana"/>
          <w:color w:val="000000"/>
        </w:rPr>
        <w:fldChar w:fldCharType="end"/>
      </w:r>
      <w:r>
        <w:rPr>
          <w:rFonts w:ascii="Verdana" w:hAnsi="Verdana"/>
          <w:sz w:val="20"/>
          <w:szCs w:val="20"/>
        </w:rPr>
        <w:t>.</w:t>
      </w:r>
      <w:bookmarkEnd w:id="19"/>
    </w:p>
    <w:p>
      <w:pPr>
        <w:pStyle w:val="Nivel2"/>
        <w:numPr>
          <w:ilvl w:val="0"/>
          <w:numId w:val="0"/>
        </w:numPr>
        <w:spacing w:lineRule="auto" w:line="240" w:before="57" w:after="57"/>
        <w:ind w:hanging="0" w:left="0"/>
        <w:r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spacing w:lineRule="auto" w:line="240" w:before="57" w:after="57"/>
        <w:ind w:hanging="0" w:left="0"/>
        <w:rPr>
          <w:rFonts w:ascii="Verdana" w:hAnsi="Verdana"/>
        </w:rPr>
      </w:pPr>
      <w:r>
        <w:rPr>
          <w:rFonts w:ascii="Verdana" w:hAnsi="Verdana"/>
        </w:rPr>
        <w:t>20.2.1 advertência;</w:t>
      </w:r>
    </w:p>
    <w:p>
      <w:pPr>
        <w:pStyle w:val="Nivel2"/>
        <w:numPr>
          <w:ilvl w:val="0"/>
          <w:numId w:val="0"/>
        </w:numPr>
        <w:spacing w:lineRule="auto" w:line="240" w:before="57" w:after="57"/>
        <w:ind w:hanging="0" w:left="0"/>
        <w:rPr>
          <w:rFonts w:ascii="Verdana" w:hAnsi="Verdana"/>
        </w:rPr>
      </w:pPr>
      <w:r>
        <w:rPr>
          <w:rFonts w:ascii="Verdana" w:hAnsi="Verdana"/>
        </w:rPr>
        <w:t>20.2.2 multa;</w:t>
      </w:r>
    </w:p>
    <w:p>
      <w:pPr>
        <w:pStyle w:val="Nivel2"/>
        <w:numPr>
          <w:ilvl w:val="0"/>
          <w:numId w:val="0"/>
        </w:numPr>
        <w:spacing w:lineRule="auto" w:line="240" w:before="57" w:after="57"/>
        <w:ind w:hanging="0" w:left="0"/>
        <w:rPr>
          <w:rFonts w:ascii="Verdana" w:hAnsi="Verdana"/>
        </w:rPr>
      </w:pPr>
      <w:r>
        <w:rPr>
          <w:rFonts w:ascii="Verdana" w:hAnsi="Verdana"/>
        </w:rPr>
        <w:t>20.2.3 impedimento de licitar e contratar e</w:t>
      </w:r>
    </w:p>
    <w:p>
      <w:pPr>
        <w:pStyle w:val="Nivel2"/>
        <w:numPr>
          <w:ilvl w:val="0"/>
          <w:numId w:val="0"/>
        </w:numPr>
        <w:spacing w:lineRule="auto" w:line="240" w:before="57" w:after="57"/>
        <w:ind w:hanging="0" w:left="0"/>
        <w:rPr>
          <w:rFonts w:ascii="Verdana" w:hAnsi="Verdana"/>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40" w:before="57" w:after="57"/>
        <w:ind w:hanging="0" w:left="0"/>
        <w:rPr>
          <w:rFonts w:ascii="Verdana" w:hAnsi="Verdana"/>
        </w:rPr>
      </w:pPr>
      <w:r>
        <w:rPr>
          <w:rFonts w:ascii="Verdana" w:hAnsi="Verdana"/>
        </w:rPr>
        <w:t>20.3 Na aplicação das sanções serão considerados:</w:t>
      </w:r>
    </w:p>
    <w:p>
      <w:pPr>
        <w:pStyle w:val="Nivel2"/>
        <w:numPr>
          <w:ilvl w:val="0"/>
          <w:numId w:val="0"/>
        </w:numPr>
        <w:spacing w:lineRule="auto" w:line="240" w:before="57" w:after="57"/>
        <w:ind w:hanging="0" w:left="0"/>
        <w:rPr>
          <w:rFonts w:ascii="Verdana" w:hAnsi="Verdana"/>
        </w:rPr>
      </w:pPr>
      <w:r>
        <w:rPr>
          <w:rFonts w:ascii="Verdana" w:hAnsi="Verdana"/>
        </w:rPr>
        <w:t>20.3.1 a natureza e a gravidade da infração cometida.</w:t>
      </w:r>
    </w:p>
    <w:p>
      <w:pPr>
        <w:pStyle w:val="Nivel2"/>
        <w:numPr>
          <w:ilvl w:val="0"/>
          <w:numId w:val="0"/>
        </w:numPr>
        <w:spacing w:lineRule="auto" w:line="240" w:before="57" w:after="57"/>
        <w:ind w:hanging="0" w:left="0"/>
        <w:rPr>
          <w:rFonts w:ascii="Verdana" w:hAnsi="Verdana"/>
        </w:rPr>
      </w:pPr>
      <w:r>
        <w:rPr>
          <w:rFonts w:ascii="Verdana" w:hAnsi="Verdana"/>
        </w:rPr>
        <w:t>20.3.2 as peculiaridades do caso concreto</w:t>
      </w:r>
    </w:p>
    <w:p>
      <w:pPr>
        <w:pStyle w:val="Nivel2"/>
        <w:numPr>
          <w:ilvl w:val="0"/>
          <w:numId w:val="0"/>
        </w:numPr>
        <w:spacing w:lineRule="auto" w:line="240" w:before="57" w:after="57"/>
        <w:ind w:hanging="0" w:left="0"/>
        <w:rPr>
          <w:rFonts w:ascii="Verdana" w:hAnsi="Verdana"/>
        </w:rPr>
      </w:pPr>
      <w:r>
        <w:rPr>
          <w:rFonts w:ascii="Verdana" w:hAnsi="Verdana"/>
        </w:rPr>
        <w:t>20.3.3 as circunstâncias agravantes ou atenuantes</w:t>
      </w:r>
    </w:p>
    <w:p>
      <w:pPr>
        <w:pStyle w:val="Nivel2"/>
        <w:numPr>
          <w:ilvl w:val="0"/>
          <w:numId w:val="0"/>
        </w:numPr>
        <w:spacing w:lineRule="auto" w:line="240" w:before="57" w:after="57"/>
        <w:ind w:hanging="0" w:left="0"/>
        <w:rPr>
          <w:rFonts w:ascii="Verdana" w:hAnsi="Verdana"/>
        </w:rPr>
      </w:pPr>
      <w:r>
        <w:rPr>
          <w:rFonts w:ascii="Verdana" w:hAnsi="Verdana"/>
        </w:rPr>
        <w:t>20.3.4 os danos que dela provierem para a Administração Pública</w:t>
      </w:r>
    </w:p>
    <w:p>
      <w:pPr>
        <w:pStyle w:val="Nivel2"/>
        <w:numPr>
          <w:ilvl w:val="0"/>
          <w:numId w:val="0"/>
        </w:numPr>
        <w:spacing w:lineRule="auto" w:line="240" w:before="57" w:after="57"/>
        <w:ind w:hanging="0" w:left="0"/>
        <w:rPr>
          <w:rFonts w:ascii="Verdana" w:hAnsi="Verdana"/>
        </w:rPr>
      </w:pPr>
      <w:r>
        <w:rPr>
          <w:rFonts w:ascii="Verdana" w:hAnsi="Verdana"/>
        </w:rPr>
        <w:t>20.3.5 a implantação ou o aperfeiçoamento de programa de integridade, conforme normas e orientações dos órgãos de controle.</w:t>
      </w:r>
    </w:p>
    <w:p>
      <w:pPr>
        <w:pStyle w:val="Nivel2"/>
        <w:numPr>
          <w:ilvl w:val="0"/>
          <w:numId w:val="0"/>
        </w:numPr>
        <w:spacing w:lineRule="auto" w:line="240" w:before="57" w:after="57"/>
        <w:ind w:hanging="0" w:left="0"/>
        <w:rPr>
          <w:rFonts w:ascii="Verdana" w:hAnsi="Verdana"/>
        </w:rPr>
      </w:pPr>
      <w:r>
        <w:rPr>
          <w:rFonts w:ascii="Verdana" w:hAnsi="Verdana"/>
        </w:rPr>
        <w:t>20.4 A multa será recolhida em percentual de 10% incidente sobre o valor do contrato licitado, recolhida no prazo máximo de 30 (Trinta) dias úteis, a contar da comunicação oficial.</w:t>
      </w:r>
    </w:p>
    <w:p>
      <w:pPr>
        <w:pStyle w:val="Nivel2"/>
        <w:numPr>
          <w:ilvl w:val="0"/>
          <w:numId w:val="0"/>
        </w:numPr>
        <w:spacing w:lineRule="auto" w:line="240" w:before="57" w:after="57"/>
        <w:ind w:hanging="0" w:left="0"/>
        <w:rPr>
          <w:rFonts w:ascii="Verdana" w:hAnsi="Verdana"/>
        </w:rPr>
      </w:pPr>
      <w:r>
        <w:rPr>
          <w:rFonts w:ascii="Verdana" w:hAnsi="Verdana"/>
        </w:rPr>
        <w:t xml:space="preserve">20.4.1 </w:t>
      </w:r>
      <w:bookmarkStart w:id="20" w:name="_Hlk113876035"/>
      <w:bookmarkStart w:id="21" w:name="_Hlk113876035_Copia_1"/>
      <w:r>
        <w:rPr>
          <w:rFonts w:ascii="Verdana" w:hAnsi="Verdana"/>
        </w:rPr>
        <w:t>Para as infrações previstas nos itens 20.1.1, 20.1.2 e 20.1.3, a multa será de 5% do valor do contrato licitado.</w:t>
      </w:r>
      <w:bookmarkEnd w:id="20"/>
      <w:bookmarkEnd w:id="21"/>
    </w:p>
    <w:p>
      <w:pPr>
        <w:pStyle w:val="Nivel2"/>
        <w:numPr>
          <w:ilvl w:val="0"/>
          <w:numId w:val="0"/>
        </w:numPr>
        <w:spacing w:lineRule="auto" w:line="240" w:before="57" w:after="57"/>
        <w:ind w:hanging="0" w:left="0"/>
        <w:rPr>
          <w:rFonts w:ascii="Verdana" w:hAnsi="Verdana"/>
        </w:rPr>
      </w:pPr>
      <w:r>
        <w:rPr>
          <w:rFonts w:ascii="Verdana" w:hAnsi="Verdana"/>
        </w:rPr>
        <w:t>20.4.2 Para as infrações previstas nos itens 20.1.4, 20.1.5, 20.1.6, 20.1.7 e 20.1.8, a multa será de 15% do valor do contrato licitado.</w:t>
      </w:r>
    </w:p>
    <w:p>
      <w:pPr>
        <w:pStyle w:val="Nivel2"/>
        <w:numPr>
          <w:ilvl w:val="0"/>
          <w:numId w:val="0"/>
        </w:numPr>
        <w:spacing w:lineRule="auto" w:line="240" w:before="57" w:after="57"/>
        <w:ind w:hanging="0" w:left="0"/>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40" w:before="57" w:after="57"/>
        <w:ind w:hanging="0" w:left="0"/>
        <w:rPr>
          <w:rFonts w:ascii="Verdana" w:hAnsi="Verdana"/>
        </w:rPr>
      </w:pPr>
      <w:r>
        <w:rPr>
          <w:rFonts w:ascii="Verdana" w:hAnsi="Verdana"/>
        </w:rPr>
        <w:t>20.6 Na aplicação da sanção de multa será facultada a defesa do interessado no prazo de 15 (quinze) dias úteis, contado da data de sua intimação.</w:t>
      </w:r>
    </w:p>
    <w:p>
      <w:pPr>
        <w:pStyle w:val="Nivel2"/>
        <w:numPr>
          <w:ilvl w:val="0"/>
          <w:numId w:val="0"/>
        </w:numPr>
        <w:spacing w:lineRule="auto" w:line="240" w:before="57" w:after="57"/>
        <w:ind w:hanging="0" w:left="0"/>
        <w:rPr>
          <w:rFonts w:ascii="Verdana" w:hAnsi="Verdana"/>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40" w:before="57" w:after="57"/>
        <w:ind w:hanging="0" w:left="0"/>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188"/>
          <w:rFonts w:ascii="Verdana" w:hAnsi="Verdana"/>
          <w:color w:val="000000"/>
        </w:rPr>
        <w:instrText xml:space="preserve"> HYPERLINK "http://www.planalto.gov.br/ccivil_03/_ato2019-2022/2021/lei/L14133.htm" \l "art156%C2%A75"</w:instrText>
      </w:r>
      <w:r>
        <w:rPr>
          <w:rStyle w:val="ListLabel188"/>
          <w:rFonts w:ascii="Verdana" w:hAnsi="Verdana"/>
          <w:color w:val="000000"/>
        </w:rPr>
        <w:fldChar w:fldCharType="separate"/>
      </w:r>
      <w:r>
        <w:rPr>
          <w:rStyle w:val="ListLabel188"/>
          <w:rFonts w:ascii="Verdana" w:hAnsi="Verdana"/>
          <w:color w:val="000000"/>
        </w:rPr>
        <w:t>art. 156, §5º, da Lei n.º 14.133/2021</w:t>
      </w:r>
      <w:r>
        <w:rPr>
          <w:rStyle w:val="ListLabel188"/>
          <w:rFonts w:ascii="Verdana" w:hAnsi="Verdana"/>
          <w:color w:val="000000"/>
        </w:rPr>
        <w:fldChar w:fldCharType="end"/>
      </w:r>
      <w:r>
        <w:rPr>
          <w:rFonts w:ascii="Verdana" w:hAnsi="Verdana"/>
        </w:rPr>
        <w:t>.</w:t>
      </w:r>
    </w:p>
    <w:p>
      <w:pPr>
        <w:pStyle w:val="Nivel2"/>
        <w:numPr>
          <w:ilvl w:val="0"/>
          <w:numId w:val="0"/>
        </w:numPr>
        <w:spacing w:lineRule="auto" w:line="240" w:before="57" w:after="57"/>
        <w:ind w:hanging="0" w:left="0"/>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8">
        <w:r>
          <w:rPr>
            <w:rStyle w:val="ListLabel188"/>
            <w:rFonts w:ascii="Verdana" w:hAnsi="Verdana"/>
            <w:color w:val="000000"/>
          </w:rPr>
          <w:t>art. 45, §4º da IN SEGES/ME n.º 73, de 2022</w:t>
        </w:r>
      </w:hyperlink>
      <w:r>
        <w:rPr>
          <w:rFonts w:ascii="Verdana" w:hAnsi="Verdana"/>
        </w:rPr>
        <w:t xml:space="preserve">. </w:t>
      </w:r>
    </w:p>
    <w:p>
      <w:pPr>
        <w:pStyle w:val="Nivel2"/>
        <w:numPr>
          <w:ilvl w:val="0"/>
          <w:numId w:val="0"/>
        </w:numPr>
        <w:spacing w:lineRule="auto" w:line="240" w:before="57" w:after="57"/>
        <w:ind w:hanging="0" w:left="0"/>
        <w:rPr>
          <w:rFonts w:ascii="Verdana" w:hAnsi="Verdana"/>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40" w:before="57" w:after="57"/>
        <w:ind w:hanging="0" w:left="0"/>
        <w:rPr>
          <w:rFonts w:ascii="Verdana" w:hAnsi="Verdan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40" w:before="57" w:after="57"/>
        <w:ind w:hanging="0" w:left="0"/>
        <w:rPr>
          <w:rFonts w:ascii="Verdana" w:hAnsi="Verdan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40" w:before="57" w:after="57"/>
        <w:ind w:hanging="0" w:left="0"/>
        <w:rPr>
          <w:rFonts w:ascii="Verdana" w:hAnsi="Verdana"/>
        </w:rPr>
      </w:pPr>
      <w:r>
        <w:rPr>
          <w:rFonts w:ascii="Verdana" w:hAnsi="Verdana"/>
        </w:rPr>
        <w:t>20.12 O recurso e o pedido de reconsideração terão efeito suspensivo do ato ou da decisão recorrida até que sobrevenha decisão final da autoridade competente.</w:t>
      </w:r>
    </w:p>
    <w:p>
      <w:pPr>
        <w:pStyle w:val="Nivel2"/>
        <w:numPr>
          <w:ilvl w:val="0"/>
          <w:numId w:val="0"/>
        </w:numPr>
        <w:spacing w:lineRule="auto" w:line="240" w:before="0" w:after="0"/>
        <w:ind w:hanging="0" w:left="0"/>
        <w:rPr>
          <w:rFonts w:ascii="Verdana" w:hAnsi="Verdana"/>
        </w:rPr>
      </w:pPr>
      <w:r>
        <w:rPr>
          <w:rFonts w:cs="Arial" w:ascii="Verdana" w:hAnsi="Verdana"/>
          <w:shd w:fill="FFFFFF" w:val="clear"/>
        </w:rPr>
        <w:t>20.13 A aplicação das sanções previstas neste edital não exclui, em hipótese alguma, a obrigação de reparação integral dos danos causados.</w:t>
      </w:r>
    </w:p>
    <w:p>
      <w:pPr>
        <w:pStyle w:val="ListParagraph"/>
        <w:spacing w:before="0" w:after="0"/>
        <w:ind w:lef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before="0" w:after="0"/>
        <w:rPr>
          <w:rFonts w:ascii="Verdana" w:hAnsi="Verdana"/>
        </w:rPr>
      </w:pPr>
      <w:r>
        <w:rPr>
          <w:rFonts w:cs="Arial" w:ascii="Verdana" w:hAnsi="Verdana"/>
        </w:rPr>
        <w:t>21. DA IMPUGNAÇÃO AO EDITAL E DO PEDIDO DE ESCLARECIMENTO</w:t>
      </w:r>
    </w:p>
    <w:p>
      <w:pPr>
        <w:pStyle w:val="ListParagraph"/>
        <w:spacing w:before="0" w:after="0"/>
        <w:ind w:left="0"/>
        <w:contextualSpacing w:val="false"/>
        <w:jc w:val="both"/>
        <w:rPr>
          <w:rFonts w:ascii="Verdana" w:hAnsi="Verdana"/>
          <w:sz w:val="20"/>
          <w:szCs w:val="20"/>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before="57" w:after="57"/>
        <w:ind w:left="0"/>
        <w:contextualSpacing w:val="false"/>
        <w:jc w:val="both"/>
        <w:rPr/>
      </w:pPr>
      <w:r>
        <w:rPr>
          <w:rFonts w:cs="Arial" w:ascii="Verdana" w:hAnsi="Verdana"/>
          <w:color w:val="000000"/>
          <w:sz w:val="20"/>
          <w:szCs w:val="20"/>
        </w:rPr>
        <w:t xml:space="preserve">21.2 A impugnação poderá ser realizada por forma eletrônica, pelo e-mail </w:t>
      </w:r>
      <w:hyperlink r:id="rId9">
        <w:r>
          <w:rPr>
            <w:rStyle w:val="ListLabel189"/>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21.4 Acolhida a impugnação, será definida e publicada nova data para a realização do certame.</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21.7 As impugnações e pedidos de esclarecimentos não suspendem os prazos previstos no certame.</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before="0" w:after="0"/>
        <w:ind w:left="0"/>
        <w:contextualSpacing w:val="false"/>
        <w:jc w:val="both"/>
        <w:rPr>
          <w:rFonts w:ascii="Verdana" w:hAnsi="Verdana"/>
          <w:sz w:val="20"/>
          <w:szCs w:val="20"/>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spacing w:before="0" w:after="0"/>
        <w:rPr>
          <w:rFonts w:ascii="Verdana" w:hAnsi="Verdana"/>
        </w:rPr>
      </w:pPr>
      <w:r>
        <w:rPr>
          <w:rFonts w:cs="Arial" w:ascii="Verdana" w:hAnsi="Verdana"/>
        </w:rPr>
        <w:t>22. DAS DISPOSIÇÕES GERAIS</w:t>
      </w:r>
    </w:p>
    <w:p>
      <w:pPr>
        <w:pStyle w:val="Normal"/>
        <w:jc w:val="both"/>
        <w:rPr>
          <w:rFonts w:ascii="Verdana" w:hAnsi="Verdana"/>
          <w:sz w:val="20"/>
          <w:szCs w:val="20"/>
        </w:rPr>
      </w:pPr>
      <w:r>
        <w:rPr>
          <w:rFonts w:cs="Arial" w:ascii="Verdana" w:hAnsi="Verdana"/>
          <w:color w:val="000000"/>
          <w:sz w:val="20"/>
          <w:szCs w:val="20"/>
        </w:rPr>
        <w:t>22.1 Da sessão pública do Pregão divulgar-se-á Ata no sistema eletrônico.</w:t>
      </w:r>
    </w:p>
    <w:p>
      <w:pPr>
        <w:pStyle w:val="Normal"/>
        <w:spacing w:before="57" w:after="57"/>
        <w:jc w:val="both"/>
        <w:rPr>
          <w:rFonts w:ascii="Verdana" w:hAnsi="Verdana"/>
          <w:sz w:val="20"/>
          <w:szCs w:val="20"/>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before="57" w:after="57"/>
        <w:jc w:val="both"/>
        <w:rPr>
          <w:rFonts w:ascii="Verdana" w:hAnsi="Verdana"/>
          <w:sz w:val="20"/>
          <w:szCs w:val="20"/>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before="57" w:after="57"/>
        <w:jc w:val="both"/>
        <w:rPr>
          <w:rFonts w:ascii="Verdana" w:hAnsi="Verdana"/>
          <w:sz w:val="20"/>
          <w:szCs w:val="20"/>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before="57" w:after="57"/>
        <w:jc w:val="both"/>
        <w:rPr>
          <w:rFonts w:ascii="Verdana" w:hAnsi="Verdana"/>
          <w:sz w:val="20"/>
          <w:szCs w:val="20"/>
        </w:rPr>
      </w:pPr>
      <w:r>
        <w:rPr>
          <w:rFonts w:cs="Arial" w:ascii="Verdana" w:hAnsi="Verdana"/>
          <w:color w:val="000000"/>
          <w:sz w:val="20"/>
          <w:szCs w:val="20"/>
        </w:rPr>
        <w:t>22.5 A homologação do resultado desta licitação não implicará direito à contratação.</w:t>
      </w:r>
    </w:p>
    <w:p>
      <w:pPr>
        <w:pStyle w:val="Normal"/>
        <w:spacing w:before="57" w:after="57"/>
        <w:jc w:val="both"/>
        <w:rPr>
          <w:rFonts w:ascii="Verdana" w:hAnsi="Verdana"/>
          <w:sz w:val="20"/>
          <w:szCs w:val="20"/>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before="57" w:after="57"/>
        <w:jc w:val="both"/>
        <w:rPr>
          <w:rFonts w:ascii="Verdana" w:hAnsi="Verdana"/>
          <w:sz w:val="20"/>
          <w:szCs w:val="20"/>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before="57" w:after="57"/>
        <w:jc w:val="both"/>
        <w:rPr>
          <w:rFonts w:ascii="Verdana" w:hAnsi="Verdana"/>
          <w:sz w:val="20"/>
          <w:szCs w:val="20"/>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before="57" w:after="57"/>
        <w:jc w:val="both"/>
        <w:rPr>
          <w:rFonts w:ascii="Verdana" w:hAnsi="Verdana"/>
          <w:sz w:val="20"/>
          <w:szCs w:val="20"/>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before="57" w:after="57"/>
        <w:jc w:val="both"/>
        <w:rPr>
          <w:rFonts w:ascii="Verdana" w:hAnsi="Verdana"/>
          <w:sz w:val="20"/>
          <w:szCs w:val="20"/>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before="57" w:after="57"/>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2" w:name="_Hlk123138684_Copia_3"/>
      <w:r>
        <w:rPr>
          <w:rFonts w:cs="Arial" w:ascii="Verdana" w:hAnsi="Verdana"/>
          <w:color w:val="000000"/>
          <w:sz w:val="20"/>
          <w:szCs w:val="20"/>
          <w:u w:val="single"/>
        </w:rPr>
        <w:t>www.portaldecompraspublicas.com.br</w:t>
      </w:r>
      <w:bookmarkEnd w:id="22"/>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0">
        <w:r>
          <w:rPr>
            <w:rStyle w:val="ListLabel185"/>
            <w:rFonts w:ascii="Verdana" w:hAnsi="Verdana"/>
            <w:color w:val="000080"/>
            <w:sz w:val="20"/>
            <w:szCs w:val="20"/>
            <w:u w:val="single"/>
          </w:rPr>
          <w:t>licitacao@</w:t>
        </w:r>
      </w:hyperlink>
      <w:hyperlink r:id="rId11">
        <w:r>
          <w:rPr>
            <w:rStyle w:val="ListLabel185"/>
            <w:rFonts w:ascii="Verdana" w:hAnsi="Verdana"/>
            <w:color w:val="000080"/>
            <w:sz w:val="20"/>
            <w:szCs w:val="20"/>
            <w:u w:val="single"/>
          </w:rPr>
          <w:t>saogabriel</w:t>
        </w:r>
      </w:hyperlink>
      <w:hyperlink r:id="rId12">
        <w:r>
          <w:rPr>
            <w:rStyle w:val="ListLabel185"/>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xml:space="preserve"> de segunda a quinta feira das 12h00min às 18h00min e nas sextas-feiras das 07h00min às 13h00min, mesmo endereço e período no qual os autos do processo administrativo permanecerão com vista franqueada aos interessados.</w:t>
      </w:r>
    </w:p>
    <w:p>
      <w:pPr>
        <w:pStyle w:val="Normal"/>
        <w:spacing w:before="57" w:after="57"/>
        <w:jc w:val="both"/>
        <w:rPr>
          <w:rFonts w:ascii="Verdana" w:hAnsi="Verdana"/>
          <w:sz w:val="20"/>
          <w:szCs w:val="20"/>
        </w:rPr>
      </w:pPr>
      <w:r>
        <w:rPr>
          <w:rFonts w:cs="Arial" w:ascii="Verdana" w:hAnsi="Verdana"/>
          <w:color w:val="000000"/>
          <w:sz w:val="20"/>
          <w:szCs w:val="20"/>
        </w:rPr>
        <w:t>22.12 Integram este Edital, para todos os fins e efeitos, os seguintes anexos</w:t>
      </w:r>
    </w:p>
    <w:p>
      <w:pPr>
        <w:pStyle w:val="Normal"/>
        <w:spacing w:before="57" w:after="57"/>
        <w:jc w:val="both"/>
        <w:rPr>
          <w:rFonts w:ascii="Verdana" w:hAnsi="Verdana"/>
          <w:sz w:val="20"/>
          <w:szCs w:val="20"/>
        </w:rPr>
      </w:pPr>
      <w:r>
        <w:rPr>
          <w:rFonts w:cs="Arial" w:ascii="Verdana" w:hAnsi="Verdana"/>
          <w:color w:val="000000"/>
          <w:sz w:val="20"/>
          <w:szCs w:val="20"/>
        </w:rPr>
        <w:t>22.12.1 ANEXO I – Modelo Orientativo de Proposta;</w:t>
      </w:r>
    </w:p>
    <w:p>
      <w:pPr>
        <w:pStyle w:val="Normal"/>
        <w:spacing w:before="57" w:after="57"/>
        <w:jc w:val="both"/>
        <w:rPr>
          <w:rFonts w:ascii="Verdana" w:hAnsi="Verdana"/>
          <w:sz w:val="20"/>
          <w:szCs w:val="20"/>
        </w:rPr>
      </w:pPr>
      <w:r>
        <w:rPr>
          <w:rFonts w:cs="Arial" w:ascii="Verdana" w:hAnsi="Verdana"/>
          <w:color w:val="000000"/>
          <w:sz w:val="20"/>
          <w:szCs w:val="20"/>
        </w:rPr>
        <w:t>22.12.2 ANEXO II – Termo de Referência;</w:t>
      </w:r>
    </w:p>
    <w:p>
      <w:pPr>
        <w:pStyle w:val="Normal"/>
        <w:spacing w:before="57" w:after="57"/>
        <w:jc w:val="both"/>
        <w:rPr>
          <w:rFonts w:ascii="Verdana" w:hAnsi="Verdana"/>
          <w:sz w:val="20"/>
          <w:szCs w:val="20"/>
        </w:rPr>
      </w:pPr>
      <w:r>
        <w:rPr>
          <w:rFonts w:cs="Arial" w:ascii="Verdana" w:hAnsi="Verdana"/>
          <w:color w:val="000000"/>
          <w:sz w:val="20"/>
          <w:szCs w:val="20"/>
        </w:rPr>
        <w:t>22.12.2.1 ANEXO II-1 – Estudo Técnico Preliminar;</w:t>
      </w:r>
    </w:p>
    <w:p>
      <w:pPr>
        <w:pStyle w:val="Normal"/>
        <w:tabs>
          <w:tab w:val="clear" w:pos="708"/>
          <w:tab w:val="left" w:pos="800" w:leader="none"/>
        </w:tabs>
        <w:snapToGrid w:val="false"/>
        <w:spacing w:before="57" w:after="57"/>
        <w:jc w:val="both"/>
        <w:rPr>
          <w:rFonts w:ascii="Verdana" w:hAnsi="Verdana"/>
          <w:sz w:val="20"/>
          <w:szCs w:val="20"/>
        </w:rPr>
      </w:pPr>
      <w:r>
        <w:rPr>
          <w:rFonts w:cs="Arial" w:ascii="Verdana" w:hAnsi="Verdana"/>
          <w:color w:val="000000"/>
          <w:sz w:val="20"/>
          <w:szCs w:val="20"/>
        </w:rPr>
        <w:t>22.12.3 ANEXO III – Minuta de Ata de Registro de Preços.</w:t>
      </w:r>
    </w:p>
    <w:p>
      <w:pPr>
        <w:pStyle w:val="Normal"/>
        <w:tabs>
          <w:tab w:val="clear" w:pos="708"/>
          <w:tab w:val="left" w:pos="800" w:leader="none"/>
        </w:tabs>
        <w:snapToGrid w:val="false"/>
        <w:spacing w:before="57" w:after="57"/>
        <w:jc w:val="both"/>
        <w:rPr>
          <w:rFonts w:ascii="Verdana" w:hAnsi="Verdana" w:cs="Arial"/>
          <w:color w:val="000000"/>
          <w:sz w:val="20"/>
          <w:szCs w:val="20"/>
        </w:rPr>
      </w:pPr>
      <w:r>
        <w:rPr>
          <w:rFonts w:cs="Arial" w:ascii="Verdana" w:hAnsi="Verdana"/>
          <w:color w:val="000000"/>
          <w:sz w:val="20"/>
          <w:szCs w:val="20"/>
        </w:rPr>
      </w:r>
    </w:p>
    <w:p>
      <w:pPr>
        <w:pStyle w:val="Normal"/>
        <w:keepNext w:val="true"/>
        <w:keepLines/>
        <w:numPr>
          <w:ilvl w:val="0"/>
          <w:numId w:val="0"/>
        </w:numPr>
        <w:tabs>
          <w:tab w:val="clear" w:pos="708"/>
          <w:tab w:val="left" w:pos="567" w:leader="none"/>
        </w:tabs>
        <w:spacing w:before="57" w:after="57"/>
        <w:ind w:hanging="0" w:left="0"/>
        <w:jc w:val="center"/>
        <w:outlineLvl w:val="0"/>
        <w:rPr>
          <w:rFonts w:ascii="Verdana" w:hAnsi="Verdana"/>
          <w:sz w:val="20"/>
          <w:szCs w:val="20"/>
        </w:rPr>
      </w:pPr>
      <w:r>
        <w:rPr>
          <w:rFonts w:cs="Arial" w:ascii="Verdana" w:hAnsi="Verdana"/>
          <w:color w:val="000000"/>
          <w:sz w:val="20"/>
          <w:szCs w:val="20"/>
        </w:rPr>
        <w:t>São Gabriel da Palha/ES, 10 de fevereiro de 2026.</w:t>
      </w:r>
    </w:p>
    <w:p>
      <w:pPr>
        <w:pStyle w:val="Normal"/>
        <w:tabs>
          <w:tab w:val="clear" w:pos="708"/>
          <w:tab w:val="left" w:pos="1440" w:leader="none"/>
        </w:tabs>
        <w:snapToGrid w:val="false"/>
        <w:spacing w:before="57" w:after="57"/>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before="57" w:after="57"/>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before="57" w:after="57"/>
        <w:jc w:val="both"/>
        <w:rPr>
          <w:rFonts w:ascii="Verdana" w:hAnsi="Verdana" w:cs="Arial"/>
          <w:sz w:val="20"/>
          <w:szCs w:val="20"/>
        </w:rPr>
      </w:pPr>
      <w:r>
        <w:rPr>
          <w:rFonts w:cs="Arial" w:ascii="Verdana" w:hAnsi="Verdana"/>
          <w:sz w:val="20"/>
          <w:szCs w:val="20"/>
        </w:rPr>
      </w:r>
    </w:p>
    <w:p>
      <w:pPr>
        <w:pStyle w:val="Normal"/>
        <w:keepNext w:val="true"/>
        <w:keepLines/>
        <w:numPr>
          <w:ilvl w:val="0"/>
          <w:numId w:val="0"/>
        </w:numPr>
        <w:tabs>
          <w:tab w:val="clear" w:pos="708"/>
          <w:tab w:val="left" w:pos="567" w:leader="none"/>
        </w:tabs>
        <w:spacing w:before="57" w:after="57"/>
        <w:ind w:hanging="0" w:left="0"/>
        <w:jc w:val="center"/>
        <w:outlineLvl w:val="0"/>
        <w:rPr/>
      </w:pPr>
      <w:r>
        <w:rPr>
          <w:rFonts w:eastAsia="DejaVu Sans" w:cs="Arial" w:ascii="Verdana" w:hAnsi="Verdana" w:eastAsiaTheme="majorEastAsia"/>
          <w:b/>
          <w:bCs/>
          <w:color w:val="000000"/>
          <w:sz w:val="20"/>
          <w:szCs w:val="20"/>
        </w:rPr>
        <w:t>MARCELLA FERREIRA ROSSONI ROCHA</w:t>
      </w:r>
    </w:p>
    <w:p>
      <w:pPr>
        <w:pStyle w:val="Normal"/>
        <w:jc w:val="center"/>
        <w:rPr/>
      </w:pPr>
      <w:r>
        <w:rPr>
          <w:rFonts w:eastAsia="DejaVu Sans" w:cs="Arial" w:ascii="Verdana" w:hAnsi="Verdana" w:eastAsiaTheme="majorEastAsia"/>
          <w:b/>
          <w:bCs/>
          <w:color w:val="000000"/>
          <w:sz w:val="20"/>
          <w:szCs w:val="20"/>
        </w:rPr>
        <w:t>Secretária Municipal de Saúde</w:t>
      </w:r>
    </w:p>
    <w:sectPr>
      <w:headerReference w:type="even" r:id="rId13"/>
      <w:headerReference w:type="default" r:id="rId14"/>
      <w:headerReference w:type="first" r:id="rId15"/>
      <w:footerReference w:type="even" r:id="rId16"/>
      <w:footerReference w:type="default" r:id="rId17"/>
      <w:footerReference w:type="first" r:id="rId18"/>
      <w:type w:val="nextPage"/>
      <w:pgSz w:w="11906" w:h="16838"/>
      <w:pgMar w:left="1367" w:right="872" w:gutter="0" w:header="517" w:top="1657" w:footer="0" w:bottom="70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5">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5">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551A8B"/>
      <w:u w:val="single"/>
    </w:rPr>
  </w:style>
  <w:style w:type="character" w:styleId="InternetLink" w:customStyle="1">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customStyle="1">
    <w:name w:val="Internet Link1"/>
    <w:uiPriority w:val="99"/>
    <w:qFormat/>
    <w:rPr>
      <w:color w:val="000080"/>
      <w:u w:val="single"/>
    </w:rPr>
  </w:style>
  <w:style w:type="character" w:styleId="InternetLink2" w:customStyle="1">
    <w:name w:val="Internet Link2"/>
    <w:qFormat/>
    <w:rPr>
      <w:color w:val="000080"/>
      <w:u w:val="single"/>
    </w:rPr>
  </w:style>
  <w:style w:type="character" w:styleId="InternetLink3" w:customStyle="1">
    <w:name w:val="Internet Link3"/>
    <w:qFormat/>
    <w:rPr>
      <w:color w:val="000080"/>
      <w:u w:val="single"/>
    </w:rPr>
  </w:style>
  <w:style w:type="character" w:styleId="InternetLink4" w:customStyle="1">
    <w:name w:val="Internet Link4"/>
    <w:qFormat/>
    <w:rPr>
      <w:color w:val="000080"/>
      <w:u w:val="single"/>
    </w:rPr>
  </w:style>
  <w:style w:type="character" w:styleId="Marcadores" w:customStyle="1">
    <w:name w:val="Marcadores"/>
    <w:qFormat/>
    <w:rPr>
      <w:rFonts w:ascii="OpenSymbol" w:hAnsi="OpenSymbol" w:eastAsia="OpenSymbol" w:cs="OpenSymbol"/>
    </w:rPr>
  </w:style>
  <w:style w:type="character" w:styleId="InternetLink5" w:customStyle="1">
    <w:name w:val="Internet Link5"/>
    <w:qFormat/>
    <w:rPr>
      <w:color w:val="000080"/>
      <w:u w:val="single"/>
    </w:rPr>
  </w:style>
  <w:style w:type="character" w:styleId="InternetLink6">
    <w:name w:val="Internet Link6"/>
    <w:qFormat/>
    <w:rPr>
      <w:color w:val="000080"/>
      <w:u w:val="single"/>
    </w:rPr>
  </w:style>
  <w:style w:type="character" w:styleId="t286pc" w:customStyle="1">
    <w:name w:val="t286pc"/>
    <w:basedOn w:val="DefaultParagraphFont"/>
    <w:qFormat/>
    <w:rsid w:val="00cd4fcc"/>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customStyle="1">
    <w:name w:val="Cabeçalho e rodapé3"/>
    <w:basedOn w:val="Normal"/>
    <w:qFormat/>
    <w:pPr/>
    <w:rPr/>
  </w:style>
  <w:style w:type="paragraph" w:styleId="Cabealhoerodap4" w:customStyle="1">
    <w:name w:val="Cabeçalho e rodapé4"/>
    <w:basedOn w:val="Normal"/>
    <w:qFormat/>
    <w:pPr/>
    <w:rPr/>
  </w:style>
  <w:style w:type="paragraph" w:styleId="Cabealhoerodap5" w:customStyle="1">
    <w:name w:val="Cabeçalho e rodapé5"/>
    <w:basedOn w:val="Normal"/>
    <w:qFormat/>
    <w:pPr/>
    <w:rPr/>
  </w:style>
  <w:style w:type="paragraph" w:styleId="Cabealhoerodap6" w:customStyle="1">
    <w:name w:val="Cabeçalho e rodapé6"/>
    <w:basedOn w:val="Normal"/>
    <w:qFormat/>
    <w:pPr/>
    <w:rPr/>
  </w:style>
  <w:style w:type="paragraph" w:styleId="Cabealhoerodap7" w:customStyle="1">
    <w:name w:val="Cabeçalho e rodapé7"/>
    <w:basedOn w:val="Normal"/>
    <w:qFormat/>
    <w:pPr/>
    <w:rPr/>
  </w:style>
  <w:style w:type="paragraph" w:styleId="Cabealhoerodap8" w:customStyle="1">
    <w:name w:val="Cabeçalho e rodapé8"/>
    <w:basedOn w:val="Normal"/>
    <w:qFormat/>
    <w:pPr/>
    <w:rPr/>
  </w:style>
  <w:style w:type="paragraph" w:styleId="Cabealhoerodap9">
    <w:name w:val="Cabeçalho e rodapé9"/>
    <w:basedOn w:val="Normal"/>
    <w:qFormat/>
    <w:pPr/>
    <w:rPr/>
  </w:style>
  <w:style w:type="paragraph" w:styleId="Cabealhoerodap10">
    <w:name w:val="Cabeçalho e rodapé10"/>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paragraph" w:styleId="Contedodatabela" w:customStyle="1">
    <w:name w:val="Conteúdo da tabela"/>
    <w:basedOn w:val="Normal"/>
    <w:qFormat/>
    <w:pPr>
      <w:widowControl w:val="false"/>
      <w:suppressLineNumbers/>
    </w:pPr>
    <w:rPr/>
  </w:style>
  <w:style w:type="paragraph" w:styleId="Ttulodetabela" w:customStyle="1">
    <w:name w:val="Título de tabela"/>
    <w:basedOn w:val="Contedodatabela"/>
    <w:qFormat/>
    <w:pPr>
      <w:jc w:val="center"/>
    </w:pPr>
    <w:rPr>
      <w:b/>
      <w:bCs/>
    </w:rPr>
  </w:style>
  <w:style w:type="paragraph" w:styleId="Normal1" w:customStyle="1">
    <w:name w:val="Normal1"/>
    <w:qFormat/>
    <w:pPr>
      <w:widowControl/>
      <w:suppressAutoHyphens w:val="true"/>
      <w:bidi w:val="0"/>
      <w:spacing w:before="0" w:after="0"/>
      <w:jc w:val="left"/>
    </w:pPr>
    <w:rPr>
      <w:rFonts w:ascii="Times New Roman" w:hAnsi="Times New Roman" w:eastAsia="Segoe UI" w:cs="Times New Roman"/>
      <w:color w:val="auto"/>
      <w:kern w:val="0"/>
      <w:sz w:val="20"/>
      <w:szCs w:val="20"/>
      <w:lang w:val="pt-BR" w:eastAsia="en-US" w:bidi="ar-SA"/>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yperlink" Target="https://www.gov.br/compras/pt-br/acesso-a-informacao/legislacao/instrucoes-normativas/instrucao-normativa-seges-me-no-73-de-30-de-setembro-de-2022" TargetMode="External"/><Relationship Id="rId9" Type="http://schemas.openxmlformats.org/officeDocument/2006/relationships/hyperlink" Target="mailto:licitacao@saogabriel.es.gov.br"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oter" Target="footer3.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Relationship Id="rId23"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3409</TotalTime>
  <Application>LibreOffice/24.2.6.2$Windows_X86_64 LibreOffice_project/ef66aa7e36a1bb8e65bfbc63aba53045a14d0871</Application>
  <AppVersion>15.0000</AppVersion>
  <Pages>14</Pages>
  <Words>7943</Words>
  <Characters>44805</Characters>
  <CharactersWithSpaces>52379</CharactersWithSpaces>
  <Paragraphs>306</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2022-01-14T09:33:00Z</dcterms:created>
  <dc:creator>Compras</dc:creator>
  <dc:description/>
  <dc:language>pt-BR</dc:language>
  <cp:lastModifiedBy/>
  <cp:lastPrinted>2026-02-10T13:40:06Z</cp:lastPrinted>
  <dcterms:modified xsi:type="dcterms:W3CDTF">2026-03-06T09:15:10Z</dcterms:modified>
  <cp:revision>172</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